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1C8B7" w14:textId="7A4C2A16" w:rsidR="00686698" w:rsidRPr="00C341BB" w:rsidRDefault="00C341BB">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C341BB">
        <w:rPr>
          <w:rFonts w:ascii="Arial" w:hAnsi="Arial" w:cs="Arial"/>
          <w:b/>
          <w:noProof/>
        </w:rPr>
        <w:drawing>
          <wp:inline distT="0" distB="0" distL="0" distR="0" wp14:anchorId="07515320" wp14:editId="794C2C4B">
            <wp:extent cx="1380490" cy="1802765"/>
            <wp:effectExtent l="0" t="0" r="0" b="0"/>
            <wp:docPr id="1" name="officeArt object"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571DC55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C28383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C341BB">
        <w:rPr>
          <w:rFonts w:ascii="Arial" w:hAnsi="Arial" w:cs="Arial"/>
          <w:b/>
          <w:bCs/>
          <w:sz w:val="36"/>
          <w:szCs w:val="36"/>
        </w:rPr>
        <w:t>Programme Specification</w:t>
      </w:r>
    </w:p>
    <w:p w14:paraId="1E00F31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579944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443AAECD" w14:textId="5A722B32" w:rsidR="00686698"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lang w:val="en-US"/>
        </w:rPr>
      </w:pPr>
      <w:r w:rsidRPr="000D3817">
        <w:rPr>
          <w:rFonts w:ascii="Arial" w:hAnsi="Arial" w:cs="Arial"/>
          <w:b/>
          <w:bCs/>
          <w:sz w:val="24"/>
          <w:szCs w:val="24"/>
          <w:lang w:val="en-US"/>
        </w:rPr>
        <w:t xml:space="preserve">Title of Course: </w:t>
      </w:r>
      <w:r w:rsidRPr="000D3817">
        <w:rPr>
          <w:rFonts w:ascii="Arial" w:hAnsi="Arial" w:cs="Arial"/>
          <w:b/>
          <w:bCs/>
          <w:sz w:val="24"/>
          <w:szCs w:val="24"/>
          <w:lang w:val="en-US"/>
        </w:rPr>
        <w:tab/>
        <w:t>MA Modern European Philosophy</w:t>
      </w:r>
    </w:p>
    <w:p w14:paraId="68EFF25B" w14:textId="77777777" w:rsidR="000D3817" w:rsidRPr="000D3817" w:rsidRDefault="000D3817"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left="3969" w:hanging="3969"/>
        <w:rPr>
          <w:rFonts w:ascii="Arial" w:hAnsi="Arial" w:cs="Arial"/>
          <w:b/>
          <w:bCs/>
          <w:sz w:val="24"/>
          <w:szCs w:val="24"/>
        </w:rPr>
      </w:pPr>
    </w:p>
    <w:p w14:paraId="2AA559C4" w14:textId="77777777" w:rsidR="00686698" w:rsidRPr="000D3817"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0D3817">
        <w:rPr>
          <w:rFonts w:ascii="Arial" w:hAnsi="Arial" w:cs="Arial"/>
          <w:b/>
          <w:bCs/>
          <w:sz w:val="24"/>
          <w:szCs w:val="24"/>
          <w:lang w:val="en-US"/>
        </w:rPr>
        <w:t xml:space="preserve">Date Specification Produced: </w:t>
      </w:r>
      <w:r w:rsidRPr="000D3817">
        <w:rPr>
          <w:rFonts w:ascii="Arial" w:hAnsi="Arial" w:cs="Arial"/>
          <w:b/>
          <w:bCs/>
          <w:sz w:val="24"/>
          <w:szCs w:val="24"/>
          <w:lang w:val="en-US"/>
        </w:rPr>
        <w:tab/>
        <w:t>October 2012</w:t>
      </w:r>
    </w:p>
    <w:p w14:paraId="24718B32" w14:textId="77777777" w:rsidR="00686698" w:rsidRPr="000D3817"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0D3817">
        <w:rPr>
          <w:rFonts w:ascii="Arial" w:hAnsi="Arial" w:cs="Arial"/>
          <w:b/>
          <w:bCs/>
          <w:sz w:val="24"/>
          <w:szCs w:val="24"/>
          <w:lang w:val="en-US"/>
        </w:rPr>
        <w:t xml:space="preserve">Date Specification Last Revised: </w:t>
      </w:r>
      <w:r w:rsidRPr="000D3817">
        <w:rPr>
          <w:rFonts w:ascii="Arial" w:hAnsi="Arial" w:cs="Arial"/>
          <w:b/>
          <w:bCs/>
          <w:sz w:val="24"/>
          <w:szCs w:val="24"/>
          <w:lang w:val="en-US"/>
        </w:rPr>
        <w:tab/>
        <w:t>March 2021</w:t>
      </w:r>
    </w:p>
    <w:p w14:paraId="32F5D29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1B9C7AA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5D1AB2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42FBAA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16189AB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48F5517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rPr>
        <w:br w:type="page"/>
      </w:r>
    </w:p>
    <w:p w14:paraId="06428E3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 xml:space="preserve">This Programme Specification is designed for prospective students, current students, academic </w:t>
      </w:r>
      <w:proofErr w:type="gramStart"/>
      <w:r w:rsidRPr="00C341BB">
        <w:rPr>
          <w:rFonts w:ascii="Arial" w:hAnsi="Arial" w:cs="Arial"/>
          <w:lang w:val="en-US"/>
        </w:rPr>
        <w:t>staff</w:t>
      </w:r>
      <w:proofErr w:type="gramEnd"/>
      <w:r w:rsidRPr="00C341BB">
        <w:rPr>
          <w:rFonts w:ascii="Arial" w:hAnsi="Arial" w:cs="Arial"/>
          <w:lang w:val="en-US"/>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57450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28FFDD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ectPr w:rsidR="00686698" w:rsidRPr="00C341BB">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20"/>
          <w:rtlGutter/>
        </w:sectPr>
      </w:pPr>
    </w:p>
    <w:p w14:paraId="7AF3C8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C341BB">
        <w:rPr>
          <w:rFonts w:ascii="Arial" w:hAnsi="Arial" w:cs="Arial"/>
          <w:b/>
          <w:bCs/>
        </w:rPr>
        <w:lastRenderedPageBreak/>
        <w:t>SECTION 1:</w:t>
      </w:r>
      <w:r w:rsidRPr="00C341BB">
        <w:rPr>
          <w:rFonts w:ascii="Arial" w:hAnsi="Arial" w:cs="Arial"/>
          <w:b/>
          <w:bCs/>
        </w:rPr>
        <w:tab/>
        <w:t>GENERAL INFORMATION</w:t>
      </w: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686698" w:rsidRPr="00C341BB" w14:paraId="1C1E416F" w14:textId="77777777">
        <w:trPr>
          <w:trHeight w:val="180"/>
        </w:trPr>
        <w:tc>
          <w:tcPr>
            <w:tcW w:w="3850" w:type="dxa"/>
            <w:tcBorders>
              <w:top w:val="nil"/>
              <w:left w:val="nil"/>
              <w:bottom w:val="nil"/>
              <w:right w:val="nil"/>
            </w:tcBorders>
            <w:tcMar>
              <w:top w:w="80" w:type="dxa"/>
              <w:left w:w="80" w:type="dxa"/>
              <w:bottom w:w="80" w:type="dxa"/>
              <w:right w:w="80" w:type="dxa"/>
            </w:tcMar>
          </w:tcPr>
          <w:p w14:paraId="7550E9E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Title:</w:t>
            </w:r>
          </w:p>
        </w:tc>
        <w:tc>
          <w:tcPr>
            <w:tcW w:w="5176" w:type="dxa"/>
            <w:tcBorders>
              <w:top w:val="nil"/>
              <w:left w:val="nil"/>
              <w:bottom w:val="nil"/>
              <w:right w:val="nil"/>
            </w:tcBorders>
            <w:tcMar>
              <w:top w:w="80" w:type="dxa"/>
              <w:left w:w="80" w:type="dxa"/>
              <w:bottom w:w="80" w:type="dxa"/>
              <w:right w:w="80" w:type="dxa"/>
            </w:tcMar>
          </w:tcPr>
          <w:p w14:paraId="3C296BE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MA Modern European Philosophy</w:t>
            </w:r>
          </w:p>
        </w:tc>
      </w:tr>
      <w:tr w:rsidR="00686698" w:rsidRPr="00C341BB" w14:paraId="4212B874" w14:textId="77777777">
        <w:trPr>
          <w:trHeight w:val="180"/>
        </w:trPr>
        <w:tc>
          <w:tcPr>
            <w:tcW w:w="3850" w:type="dxa"/>
            <w:tcBorders>
              <w:top w:val="nil"/>
              <w:left w:val="nil"/>
              <w:bottom w:val="nil"/>
              <w:right w:val="nil"/>
            </w:tcBorders>
            <w:tcMar>
              <w:top w:w="80" w:type="dxa"/>
              <w:left w:w="80" w:type="dxa"/>
              <w:bottom w:w="80" w:type="dxa"/>
              <w:right w:w="80" w:type="dxa"/>
            </w:tcMar>
          </w:tcPr>
          <w:p w14:paraId="4FC10D1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Awarding Institution:</w:t>
            </w:r>
          </w:p>
        </w:tc>
        <w:tc>
          <w:tcPr>
            <w:tcW w:w="5176" w:type="dxa"/>
            <w:tcBorders>
              <w:top w:val="nil"/>
              <w:left w:val="nil"/>
              <w:bottom w:val="nil"/>
              <w:right w:val="nil"/>
            </w:tcBorders>
            <w:tcMar>
              <w:top w:w="80" w:type="dxa"/>
              <w:left w:w="80" w:type="dxa"/>
              <w:bottom w:w="80" w:type="dxa"/>
              <w:right w:w="80" w:type="dxa"/>
            </w:tcMar>
          </w:tcPr>
          <w:p w14:paraId="3C2066C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Kingston University</w:t>
            </w:r>
          </w:p>
        </w:tc>
      </w:tr>
      <w:tr w:rsidR="00686698" w:rsidRPr="00C341BB" w14:paraId="3DD704F3" w14:textId="77777777">
        <w:trPr>
          <w:trHeight w:val="180"/>
        </w:trPr>
        <w:tc>
          <w:tcPr>
            <w:tcW w:w="3850" w:type="dxa"/>
            <w:tcBorders>
              <w:top w:val="nil"/>
              <w:left w:val="nil"/>
              <w:bottom w:val="nil"/>
              <w:right w:val="nil"/>
            </w:tcBorders>
            <w:tcMar>
              <w:top w:w="80" w:type="dxa"/>
              <w:left w:w="80" w:type="dxa"/>
              <w:bottom w:w="80" w:type="dxa"/>
              <w:right w:w="80" w:type="dxa"/>
            </w:tcMar>
          </w:tcPr>
          <w:p w14:paraId="633B18C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Teaching Institution:</w:t>
            </w:r>
          </w:p>
        </w:tc>
        <w:tc>
          <w:tcPr>
            <w:tcW w:w="5176" w:type="dxa"/>
            <w:tcBorders>
              <w:top w:val="nil"/>
              <w:left w:val="nil"/>
              <w:bottom w:val="nil"/>
              <w:right w:val="nil"/>
            </w:tcBorders>
            <w:tcMar>
              <w:top w:w="80" w:type="dxa"/>
              <w:left w:w="80" w:type="dxa"/>
              <w:bottom w:w="80" w:type="dxa"/>
              <w:right w:w="80" w:type="dxa"/>
            </w:tcMar>
          </w:tcPr>
          <w:p w14:paraId="6D324D9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Kingston University</w:t>
            </w:r>
          </w:p>
        </w:tc>
      </w:tr>
      <w:tr w:rsidR="00686698" w:rsidRPr="00C341BB" w14:paraId="752AEC47" w14:textId="77777777">
        <w:trPr>
          <w:trHeight w:val="180"/>
        </w:trPr>
        <w:tc>
          <w:tcPr>
            <w:tcW w:w="3850" w:type="dxa"/>
            <w:tcBorders>
              <w:top w:val="nil"/>
              <w:left w:val="nil"/>
              <w:bottom w:val="nil"/>
              <w:right w:val="nil"/>
            </w:tcBorders>
            <w:tcMar>
              <w:top w:w="80" w:type="dxa"/>
              <w:left w:w="80" w:type="dxa"/>
              <w:bottom w:w="80" w:type="dxa"/>
              <w:right w:w="80" w:type="dxa"/>
            </w:tcMar>
          </w:tcPr>
          <w:p w14:paraId="7CE5C48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Location:</w:t>
            </w:r>
          </w:p>
        </w:tc>
        <w:tc>
          <w:tcPr>
            <w:tcW w:w="5176" w:type="dxa"/>
            <w:tcBorders>
              <w:top w:val="nil"/>
              <w:left w:val="nil"/>
              <w:bottom w:val="nil"/>
              <w:right w:val="nil"/>
            </w:tcBorders>
            <w:tcMar>
              <w:top w:w="80" w:type="dxa"/>
              <w:left w:w="80" w:type="dxa"/>
              <w:bottom w:w="80" w:type="dxa"/>
              <w:right w:w="80" w:type="dxa"/>
            </w:tcMar>
          </w:tcPr>
          <w:p w14:paraId="15B2531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Penrhyn Road/Knights Park</w:t>
            </w:r>
          </w:p>
        </w:tc>
      </w:tr>
      <w:tr w:rsidR="00686698" w:rsidRPr="00C341BB" w14:paraId="65F692FD" w14:textId="77777777">
        <w:trPr>
          <w:trHeight w:val="180"/>
        </w:trPr>
        <w:tc>
          <w:tcPr>
            <w:tcW w:w="3850" w:type="dxa"/>
            <w:tcBorders>
              <w:top w:val="nil"/>
              <w:left w:val="nil"/>
              <w:bottom w:val="nil"/>
              <w:right w:val="nil"/>
            </w:tcBorders>
            <w:tcMar>
              <w:top w:w="80" w:type="dxa"/>
              <w:left w:w="80" w:type="dxa"/>
              <w:bottom w:w="80" w:type="dxa"/>
              <w:right w:w="80" w:type="dxa"/>
            </w:tcMar>
          </w:tcPr>
          <w:p w14:paraId="0AB745D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Programme Accredited by:</w:t>
            </w:r>
          </w:p>
        </w:tc>
        <w:tc>
          <w:tcPr>
            <w:tcW w:w="5176" w:type="dxa"/>
            <w:tcBorders>
              <w:top w:val="nil"/>
              <w:left w:val="nil"/>
              <w:bottom w:val="nil"/>
              <w:right w:val="nil"/>
            </w:tcBorders>
            <w:tcMar>
              <w:top w:w="80" w:type="dxa"/>
              <w:left w:w="80" w:type="dxa"/>
              <w:bottom w:w="80" w:type="dxa"/>
              <w:right w:w="80" w:type="dxa"/>
            </w:tcMar>
          </w:tcPr>
          <w:p w14:paraId="33FF589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NA</w:t>
            </w:r>
          </w:p>
        </w:tc>
      </w:tr>
    </w:tbl>
    <w:p w14:paraId="3F71D09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C5C4B8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SECTION2: THE PROGRAMME</w:t>
      </w:r>
    </w:p>
    <w:p w14:paraId="4BC9907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0EB8280F"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rPr>
        <w:t>Programme Introduction</w:t>
      </w:r>
    </w:p>
    <w:p w14:paraId="49E5807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047E5E3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This highly-regarded MA programme offers students an opportunity to study nineteenth- and twentieth-century European philosophy in a structured way, concentrating on the interpretation and analysis of key texts by fundamental thinkers (including Kant, Hegel and Heidegger) and on the study of more recent work in the European tradition (especially French and Italian philosophy). It appeals both to students with a background in Philosophy, and to students with undergraduate degrees in a wide variety of other subjects such as literature, politics and political theory, cultural studies, art history, fine art, mathematics, and so on. Many students come to the MA </w:t>
      </w:r>
      <w:proofErr w:type="gramStart"/>
      <w:r w:rsidRPr="00C341BB">
        <w:rPr>
          <w:rFonts w:ascii="Arial" w:hAnsi="Arial" w:cs="Arial"/>
          <w:lang w:val="en-US"/>
        </w:rPr>
        <w:t>in order to</w:t>
      </w:r>
      <w:proofErr w:type="gramEnd"/>
      <w:r w:rsidRPr="00C341BB">
        <w:rPr>
          <w:rFonts w:ascii="Arial" w:hAnsi="Arial" w:cs="Arial"/>
          <w:lang w:val="en-US"/>
        </w:rPr>
        <w:t xml:space="preserve"> study in depth the thinkers and the philosophical traditions that they may have encountered more superficially in other disciplinary contexts. It provides an ideal preparation for doctoral research in Philosophy </w:t>
      </w:r>
      <w:proofErr w:type="gramStart"/>
      <w:r w:rsidRPr="00C341BB">
        <w:rPr>
          <w:rFonts w:ascii="Arial" w:hAnsi="Arial" w:cs="Arial"/>
          <w:lang w:val="en-US"/>
        </w:rPr>
        <w:t>and also</w:t>
      </w:r>
      <w:proofErr w:type="gramEnd"/>
      <w:r w:rsidRPr="00C341BB">
        <w:rPr>
          <w:rFonts w:ascii="Arial" w:hAnsi="Arial" w:cs="Arial"/>
          <w:lang w:val="en-US"/>
        </w:rPr>
        <w:t xml:space="preserve"> in related fields in the humanities and social sciences. The MA also prepares graduates for a wide range of careers in education, the arts, </w:t>
      </w:r>
      <w:proofErr w:type="gramStart"/>
      <w:r w:rsidRPr="00C341BB">
        <w:rPr>
          <w:rFonts w:ascii="Arial" w:hAnsi="Arial" w:cs="Arial"/>
          <w:lang w:val="en-US"/>
        </w:rPr>
        <w:t>politics</w:t>
      </w:r>
      <w:proofErr w:type="gramEnd"/>
      <w:r w:rsidRPr="00C341BB">
        <w:rPr>
          <w:rFonts w:ascii="Arial" w:hAnsi="Arial" w:cs="Arial"/>
          <w:lang w:val="en-US"/>
        </w:rPr>
        <w:t xml:space="preserve"> and public policy.</w:t>
      </w:r>
    </w:p>
    <w:p w14:paraId="7EF0A5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117F93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pays particular attention to the influence of Immanuel Kant's philosophy, and to the debates structuring the development of post-Kantian philosophy in both Germany and France. The programme begins with a foundation module on Kant's </w:t>
      </w:r>
      <w:r w:rsidRPr="00C341BB">
        <w:rPr>
          <w:rFonts w:ascii="Arial" w:hAnsi="Arial" w:cs="Arial"/>
          <w:i/>
          <w:iCs/>
          <w:lang w:val="en-US"/>
        </w:rPr>
        <w:t>Critique of Pure Reason</w:t>
      </w:r>
      <w:r w:rsidRPr="00C341BB">
        <w:rPr>
          <w:rFonts w:ascii="Arial" w:hAnsi="Arial" w:cs="Arial"/>
          <w:lang w:val="en-US"/>
        </w:rPr>
        <w:t xml:space="preserve">, and it adopts Kant's critical philosophy as an historical and conceptual basis for the understanding of subsequent European </w:t>
      </w:r>
      <w:proofErr w:type="gramStart"/>
      <w:r w:rsidRPr="00C341BB">
        <w:rPr>
          <w:rFonts w:ascii="Arial" w:hAnsi="Arial" w:cs="Arial"/>
          <w:lang w:val="en-US"/>
        </w:rPr>
        <w:t>philosophy as a whole</w:t>
      </w:r>
      <w:proofErr w:type="gramEnd"/>
      <w:r w:rsidRPr="00C341BB">
        <w:rPr>
          <w:rFonts w:ascii="Arial" w:hAnsi="Arial" w:cs="Arial"/>
          <w:lang w:val="en-US"/>
        </w:rPr>
        <w:t xml:space="preserve">. As well as thus offering a secure grounding in the foundations of Modern European Philosophy, it offers a wide range of options, including topics and areas not normally offered in MA courses in philosophy in the UK (for example, courses on Recent Italian Philosophy, on Marx, on Philosophy and Psychoanalysis and on Art Theory). </w:t>
      </w:r>
    </w:p>
    <w:p w14:paraId="3FC146A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4BFE54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MA in Modern European Philosophy is taught by internationally recognized specialists at the UK's most dynamic and inventive </w:t>
      </w:r>
      <w:proofErr w:type="spellStart"/>
      <w:r w:rsidRPr="00C341BB">
        <w:rPr>
          <w:rFonts w:ascii="Arial" w:hAnsi="Arial" w:cs="Arial"/>
          <w:lang w:val="en-US"/>
        </w:rPr>
        <w:t>centre</w:t>
      </w:r>
      <w:proofErr w:type="spellEnd"/>
      <w:r w:rsidRPr="00C341BB">
        <w:rPr>
          <w:rFonts w:ascii="Arial" w:hAnsi="Arial" w:cs="Arial"/>
          <w:lang w:val="en-US"/>
        </w:rPr>
        <w:t xml:space="preserve"> for research in modern European philosophy, the CRMEP. Since its inception in 1994, the CRMEP has developed a national and international reputation for teaching and research in the field of post-Kantian European philosophy, </w:t>
      </w:r>
      <w:proofErr w:type="spellStart"/>
      <w:r w:rsidRPr="00C341BB">
        <w:rPr>
          <w:rFonts w:ascii="Arial" w:hAnsi="Arial" w:cs="Arial"/>
          <w:lang w:val="en-US"/>
        </w:rPr>
        <w:t>characterised</w:t>
      </w:r>
      <w:proofErr w:type="spellEnd"/>
      <w:r w:rsidRPr="00C341BB">
        <w:rPr>
          <w:rFonts w:ascii="Arial" w:hAnsi="Arial" w:cs="Arial"/>
          <w:lang w:val="en-US"/>
        </w:rPr>
        <w:t xml:space="preserve"> by a strong emphasis on broad cultural and intellectual contexts and a distinctive sense of social and political engagement. The MA in Modern European Philosophy is at the heart of the CRMEP project. The MA programme is enhanced by the CRMEP's lively and popular series of research events and CRMEP’s strong links with the Philosophy Department at the University of Paris 8, and continues to </w:t>
      </w:r>
      <w:proofErr w:type="spellStart"/>
      <w:r w:rsidRPr="00C341BB">
        <w:rPr>
          <w:rFonts w:ascii="Arial" w:hAnsi="Arial" w:cs="Arial"/>
          <w:lang w:val="en-US"/>
        </w:rPr>
        <w:t>organise</w:t>
      </w:r>
      <w:proofErr w:type="spellEnd"/>
      <w:r w:rsidRPr="00C341BB">
        <w:rPr>
          <w:rFonts w:ascii="Arial" w:hAnsi="Arial" w:cs="Arial"/>
          <w:lang w:val="en-US"/>
        </w:rPr>
        <w:t xml:space="preserve"> regular research events and collaborations with Paris-based colleagues.</w:t>
      </w:r>
    </w:p>
    <w:p w14:paraId="00CCD87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D996C9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w:t>
      </w:r>
      <w:r w:rsidRPr="00C341BB">
        <w:rPr>
          <w:rFonts w:ascii="Arial" w:hAnsi="Arial" w:cs="Arial"/>
          <w:lang w:val="en-US"/>
        </w:rPr>
        <w:lastRenderedPageBreak/>
        <w:t xml:space="preserve">are provided on CV creation, interview techniques and placement searching, with drop-in sessions to provide additional support. </w:t>
      </w:r>
      <w:proofErr w:type="gramStart"/>
      <w:r w:rsidRPr="00C341BB">
        <w:rPr>
          <w:rFonts w:ascii="Arial" w:hAnsi="Arial" w:cs="Arial"/>
          <w:lang w:val="en-US"/>
        </w:rPr>
        <w:t>In order to</w:t>
      </w:r>
      <w:proofErr w:type="gramEnd"/>
      <w:r w:rsidRPr="00C341BB">
        <w:rPr>
          <w:rFonts w:ascii="Arial" w:hAnsi="Arial" w:cs="Arial"/>
          <w:lang w:val="en-US"/>
        </w:rPr>
        <w:t xml:space="preserve"> take the Professional Placement module, students need to have arranged a placement, approved by the Course Leader, by the end the preceding teaching block. Students undertake the placement either before the final </w:t>
      </w:r>
      <w:proofErr w:type="gramStart"/>
      <w:r w:rsidRPr="00C341BB">
        <w:rPr>
          <w:rFonts w:ascii="Arial" w:hAnsi="Arial" w:cs="Arial"/>
          <w:lang w:val="en-US"/>
        </w:rPr>
        <w:t>module, or</w:t>
      </w:r>
      <w:proofErr w:type="gramEnd"/>
      <w:r w:rsidRPr="00C341BB">
        <w:rPr>
          <w:rFonts w:ascii="Arial" w:hAnsi="Arial" w:cs="Arial"/>
          <w:lang w:val="en-US"/>
        </w:rPr>
        <w:t xml:space="preserve"> following the completion of the final module.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w:t>
      </w:r>
      <w:r w:rsidRPr="00C341BB">
        <w:rPr>
          <w:rFonts w:ascii="Arial" w:hAnsi="Arial" w:cs="Arial"/>
          <w:lang w:val="fr-FR"/>
        </w:rPr>
        <w:t>placement.</w:t>
      </w:r>
      <w:r w:rsidRPr="00C341BB">
        <w:rPr>
          <w:rFonts w:ascii="Arial" w:hAnsi="Arial" w:cs="Arial"/>
          <w:lang w:val="en-US"/>
        </w:rPr>
        <w: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w:t>
      </w:r>
      <w:r w:rsidRPr="00C341BB">
        <w:rPr>
          <w:rFonts w:ascii="Arial" w:hAnsi="Arial" w:cs="Arial"/>
          <w:lang w:val="fr-FR"/>
        </w:rPr>
        <w:t>placement</w:t>
      </w:r>
      <w:r w:rsidRPr="00C341BB">
        <w:rPr>
          <w:rFonts w:ascii="Arial" w:hAnsi="Arial" w:cs="Arial"/>
          <w:lang w:val="en-US"/>
        </w:rPr>
        <w:t> module will be assessed on a pass/fail basis.</w:t>
      </w:r>
    </w:p>
    <w:p w14:paraId="11E8373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49A6A0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E1975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2377721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3860D0DF"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rPr>
        <w:t>Aims of the Programme</w:t>
      </w:r>
    </w:p>
    <w:p w14:paraId="7539D6CC"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6F23D81" w14:textId="77777777" w:rsidR="00686698" w:rsidRPr="00C341BB" w:rsidRDefault="00686698">
      <w:pPr>
        <w:pStyle w:val="PlainText"/>
        <w:keepN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C341BB">
        <w:rPr>
          <w:rFonts w:ascii="Arial" w:hAnsi="Arial" w:cs="Arial"/>
          <w:sz w:val="22"/>
          <w:szCs w:val="22"/>
        </w:rPr>
        <w:t>The general aims of the Programme are:</w:t>
      </w:r>
    </w:p>
    <w:p w14:paraId="562E5F32" w14:textId="77777777" w:rsidR="00686698" w:rsidRPr="00C341BB" w:rsidRDefault="00686698">
      <w:pPr>
        <w:pStyle w:val="Body"/>
        <w:keepNext/>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offer students the opportunity to study modern European philosophy to an advanced level within a taught programme</w:t>
      </w:r>
    </w:p>
    <w:p w14:paraId="4C06D921"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enhance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knowledge of the main lines of inquiry in European philosophy in the post-Kantian tradition</w:t>
      </w:r>
    </w:p>
    <w:p w14:paraId="3DC4AA4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 xml:space="preserve">to enable students to develop an advanced understanding of current debates in the field of European philosophy, notably with respect to the ongoing reception of foundational figures like Kant, </w:t>
      </w:r>
      <w:proofErr w:type="gramStart"/>
      <w:r w:rsidRPr="00C341BB">
        <w:rPr>
          <w:rFonts w:ascii="Arial" w:eastAsia="Times New Roman"/>
          <w:lang w:val="en-US"/>
        </w:rPr>
        <w:t>Hegel</w:t>
      </w:r>
      <w:proofErr w:type="gramEnd"/>
      <w:r w:rsidRPr="00C341BB">
        <w:rPr>
          <w:rFonts w:ascii="Arial" w:eastAsia="Times New Roman"/>
          <w:lang w:val="en-US"/>
        </w:rPr>
        <w:t xml:space="preserve"> and Marx.</w:t>
      </w:r>
    </w:p>
    <w:p w14:paraId="3CC4E66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rPr>
        <w:t>to foster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 xml:space="preserve">ability to develop general philosophical skills, both in class discussions and in individual written work, of interpretation, analysis, </w:t>
      </w:r>
      <w:proofErr w:type="gramStart"/>
      <w:r w:rsidRPr="00C341BB">
        <w:rPr>
          <w:rFonts w:ascii="Arial" w:eastAsia="Times New Roman"/>
          <w:lang w:val="en-US"/>
        </w:rPr>
        <w:t>criticism</w:t>
      </w:r>
      <w:proofErr w:type="gramEnd"/>
      <w:r w:rsidRPr="00C341BB">
        <w:rPr>
          <w:rFonts w:ascii="Arial" w:eastAsia="Times New Roman"/>
          <w:lang w:val="en-US"/>
        </w:rPr>
        <w:t xml:space="preserve"> and argument</w:t>
      </w:r>
    </w:p>
    <w:p w14:paraId="68C7758C"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provide training in advanced research skills and the use of research resources, both physical and electronic</w:t>
      </w:r>
    </w:p>
    <w:p w14:paraId="46F5794A"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develop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ability to construct a complex argument and to express that argument in clear and accurate English prose</w:t>
      </w:r>
    </w:p>
    <w:p w14:paraId="523AE84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provide students with a solid foundation for further postgraduate research or professional development.</w:t>
      </w:r>
    </w:p>
    <w:p w14:paraId="38ED777C"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line="240" w:lineRule="auto"/>
        <w:ind w:left="720" w:hanging="360"/>
        <w:rPr>
          <w:rFonts w:ascii="Arial" w:hAnsi="Arial" w:cs="Arial"/>
        </w:rPr>
      </w:pPr>
      <w:r w:rsidRPr="00C341BB">
        <w:rPr>
          <w:rFonts w:ascii="Arial" w:eastAsia="Times New Roman"/>
          <w:lang w:val="en-US"/>
        </w:rPr>
        <w:t xml:space="preserve">The 2-year programme with integrated placement(s) also provides students with an opportunity to enhance their professional skills, preparing them for higher levels of employment, further </w:t>
      </w:r>
      <w:proofErr w:type="gramStart"/>
      <w:r w:rsidRPr="00C341BB">
        <w:rPr>
          <w:rFonts w:ascii="Arial" w:eastAsia="Times New Roman"/>
          <w:lang w:val="en-US"/>
        </w:rPr>
        <w:t>study</w:t>
      </w:r>
      <w:proofErr w:type="gramEnd"/>
      <w:r w:rsidRPr="00C341BB">
        <w:rPr>
          <w:rFonts w:ascii="Arial" w:eastAsia="Times New Roman"/>
          <w:lang w:val="en-US"/>
        </w:rPr>
        <w:t xml:space="preserve"> and lifelong learning</w:t>
      </w:r>
    </w:p>
    <w:p w14:paraId="090D906A"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r w:rsidRPr="00C341BB">
        <w:rPr>
          <w:rFonts w:ascii="Arial" w:hAnsi="Arial" w:cs="Arial"/>
        </w:rPr>
        <w:t>This programme allows for three exit qualifications: Masters (180 credits), post-graduate Diploma (120 credits), and post-graduate Certificate (60 credits).</w:t>
      </w:r>
    </w:p>
    <w:p w14:paraId="6869E71B"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p>
    <w:p w14:paraId="41D3E447"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0"/>
      </w:pPr>
      <w:r w:rsidRPr="00C341BB">
        <w:rPr>
          <w:rFonts w:ascii="Arial" w:hAnsi="Arial" w:cs="Arial"/>
          <w:b/>
          <w:bCs/>
        </w:rPr>
        <w:br w:type="page"/>
      </w:r>
    </w:p>
    <w:p w14:paraId="78E96017"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hAnsi="Arial" w:cs="Arial"/>
          <w:b/>
          <w:bCs/>
        </w:rPr>
        <w:lastRenderedPageBreak/>
        <w:t>Intended Learning Outcomes</w:t>
      </w:r>
    </w:p>
    <w:p w14:paraId="2C184C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B3E140B" w14:textId="74A52364"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sidR="0005175D">
        <w:rPr>
          <w:rFonts w:ascii="Arial" w:hAnsi="Arial" w:cs="Arial"/>
          <w:lang w:val="en-US"/>
        </w:rPr>
        <w:t xml:space="preserve">, the </w:t>
      </w:r>
      <w:proofErr w:type="gramStart"/>
      <w:r w:rsidR="0005175D">
        <w:rPr>
          <w:rFonts w:ascii="Arial" w:hAnsi="Arial" w:cs="Arial"/>
          <w:lang w:val="en-US"/>
        </w:rPr>
        <w:t>Master’s Degree</w:t>
      </w:r>
      <w:proofErr w:type="gramEnd"/>
      <w:r w:rsidR="0005175D">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5793BAC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70EA1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5BD0412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F5F563E" w14:textId="4C728B7C" w:rsidR="00686698" w:rsidRPr="00C341BB" w:rsidRDefault="000517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677C7EC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E17CA7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1BE357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158C4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AB2E07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B5A5EA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4EDADDE" w14:textId="1F3752D0" w:rsidR="00686698" w:rsidRPr="00C341BB" w:rsidRDefault="00686698">
      <w:pPr>
        <w:pStyle w:val="Body"/>
        <w:pBdr>
          <w:top w:val="none" w:sz="0" w:space="0" w:color="auto"/>
          <w:left w:val="none" w:sz="0" w:space="0" w:color="auto"/>
          <w:bottom w:val="none" w:sz="0" w:space="0" w:color="auto"/>
          <w:right w:val="none" w:sz="0" w:space="0" w:color="auto"/>
          <w:bar w:val="none" w:sz="0" w:color="auto"/>
        </w:pBdr>
        <w:ind w:left="720"/>
        <w:sectPr w:rsidR="00686698" w:rsidRPr="00C341BB" w:rsidSect="00AD1FB7">
          <w:headerReference w:type="default" r:id="rId17"/>
          <w:footerReference w:type="default" r:id="rId18"/>
          <w:pgSz w:w="11900" w:h="16840"/>
          <w:pgMar w:top="1440" w:right="1440" w:bottom="1440" w:left="1440" w:header="709" w:footer="709" w:gutter="0"/>
          <w:pgNumType w:start="1"/>
          <w:cols w:space="720"/>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58"/>
        <w:gridCol w:w="4015"/>
        <w:gridCol w:w="692"/>
        <w:gridCol w:w="4015"/>
        <w:gridCol w:w="552"/>
        <w:gridCol w:w="4018"/>
      </w:tblGrid>
      <w:tr w:rsidR="00686698" w:rsidRPr="00C341BB" w14:paraId="7D204E49" w14:textId="77777777" w:rsidTr="00C341BB">
        <w:trPr>
          <w:trHeight w:val="16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33F3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lastRenderedPageBreak/>
              <w:t>Programme Learning Outcomes</w:t>
            </w:r>
          </w:p>
        </w:tc>
      </w:tr>
      <w:tr w:rsidR="00686698" w:rsidRPr="00C341BB" w14:paraId="64F733A9" w14:textId="77777777" w:rsidTr="00C341BB">
        <w:trPr>
          <w:trHeight w:val="160"/>
        </w:trPr>
        <w:tc>
          <w:tcPr>
            <w:tcW w:w="236"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B684C6A"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B486F2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Knowledge and Understanding</w:t>
            </w:r>
          </w:p>
          <w:p w14:paraId="34DBF8B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75E05E8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have advanced knowledge and understanding of:</w:t>
            </w:r>
          </w:p>
        </w:tc>
        <w:tc>
          <w:tcPr>
            <w:tcW w:w="24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B96BAFB"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08FFE8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 xml:space="preserve">Intellectual skills </w:t>
            </w:r>
          </w:p>
          <w:p w14:paraId="4F248EF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488D27E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be able to:</w:t>
            </w:r>
          </w:p>
        </w:tc>
        <w:tc>
          <w:tcPr>
            <w:tcW w:w="19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A403C54"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D574E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 xml:space="preserve">Subject Practical skills </w:t>
            </w:r>
          </w:p>
          <w:p w14:paraId="597C20A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09FDB43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be able to:</w:t>
            </w:r>
          </w:p>
        </w:tc>
      </w:tr>
      <w:tr w:rsidR="00686698" w:rsidRPr="00C341BB" w14:paraId="4109A5A0"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5D58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C7A0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main epistemological and metaphysical ideas and arguments of Immanuel Kant, in the light of current critical debates</w:t>
            </w:r>
            <w:r w:rsidRPr="000D3817">
              <w:rPr>
                <w:rFonts w:ascii="Arial" w:hAnsi="Arial" w:cs="Arial"/>
                <w:i/>
                <w:iCs/>
                <w:color w:val="FF0000"/>
                <w:sz w:val="21"/>
                <w:szCs w:val="20"/>
                <w:u w:color="FF0000"/>
                <w:lang w:val="en-US"/>
              </w:rPr>
              <w:t xml:space="preserve"> </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30397"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7A9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 xml:space="preserve">Interpret and </w:t>
            </w:r>
            <w:proofErr w:type="spellStart"/>
            <w:r w:rsidRPr="000D3817">
              <w:rPr>
                <w:rFonts w:ascii="Arial" w:hAnsi="Arial" w:cs="Arial"/>
                <w:sz w:val="21"/>
                <w:lang w:val="en-US"/>
              </w:rPr>
              <w:t>analyse</w:t>
            </w:r>
            <w:proofErr w:type="spellEnd"/>
            <w:r w:rsidRPr="000D3817">
              <w:rPr>
                <w:rFonts w:ascii="Arial" w:hAnsi="Arial" w:cs="Arial"/>
                <w:sz w:val="21"/>
                <w:lang w:val="en-US"/>
              </w:rPr>
              <w:t xml:space="preserve"> complex and difficult philosophical texts, informed by current critical practice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5D32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2F54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Work independently and manage their time effectively</w:t>
            </w:r>
          </w:p>
        </w:tc>
      </w:tr>
      <w:tr w:rsidR="00686698" w:rsidRPr="00C341BB" w14:paraId="6DC8ED1A"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3C15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E0F9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formative role of the writings of Kant and Hegel within the 19</w:t>
            </w:r>
            <w:r w:rsidRPr="000D3817">
              <w:rPr>
                <w:rFonts w:ascii="Arial" w:hAnsi="Arial" w:cs="Arial"/>
                <w:sz w:val="21"/>
                <w:vertAlign w:val="superscript"/>
                <w:lang w:val="en-US"/>
              </w:rPr>
              <w:t>th-</w:t>
            </w:r>
            <w:r w:rsidRPr="000D3817">
              <w:rPr>
                <w:rFonts w:ascii="Arial" w:hAnsi="Arial" w:cs="Arial"/>
                <w:sz w:val="21"/>
                <w:lang w:val="en-US"/>
              </w:rPr>
              <w:t xml:space="preserve"> and 20</w:t>
            </w:r>
            <w:r w:rsidRPr="000D3817">
              <w:rPr>
                <w:rFonts w:ascii="Arial" w:hAnsi="Arial" w:cs="Arial"/>
                <w:sz w:val="21"/>
                <w:vertAlign w:val="superscript"/>
                <w:lang w:val="en-US"/>
              </w:rPr>
              <w:t>th</w:t>
            </w:r>
            <w:r w:rsidRPr="000D3817">
              <w:rPr>
                <w:rFonts w:ascii="Arial" w:hAnsi="Arial" w:cs="Arial"/>
                <w:sz w:val="21"/>
                <w:lang w:val="en-US"/>
              </w:rPr>
              <w:t>-century European philosophical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9B30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02B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Consider and critically examine unfamiliar ideas and terminology</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F1BA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4262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Prepare and deliver effective oral presentations of their work</w:t>
            </w:r>
          </w:p>
        </w:tc>
      </w:tr>
      <w:tr w:rsidR="00686698" w:rsidRPr="00C341BB" w14:paraId="761DBB4F"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CE21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AC966"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main ideas and arguments of two or more major thinkers within the post-Kantian tradition of European philosophy, as presented in canonical texts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D329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B5B5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 xml:space="preserve">Recognize methodological errors, rhetorical </w:t>
            </w:r>
            <w:proofErr w:type="gramStart"/>
            <w:r w:rsidRPr="000D3817">
              <w:rPr>
                <w:rFonts w:ascii="Arial" w:hAnsi="Arial" w:cs="Arial"/>
                <w:sz w:val="21"/>
                <w:lang w:val="en-US"/>
              </w:rPr>
              <w:t>devices</w:t>
            </w:r>
            <w:proofErr w:type="gramEnd"/>
            <w:r w:rsidRPr="000D3817">
              <w:rPr>
                <w:rFonts w:ascii="Arial" w:hAnsi="Arial" w:cs="Arial"/>
                <w:sz w:val="21"/>
                <w:lang w:val="en-US"/>
              </w:rPr>
              <w:t xml:space="preserve"> and unnoticed assumptions </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D171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C97F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Locate appropriate electronic and physical research resources and plan a programme of library-based research appropriate to an MA dissertation</w:t>
            </w:r>
          </w:p>
        </w:tc>
      </w:tr>
      <w:tr w:rsidR="00686698" w:rsidRPr="00C341BB" w14:paraId="71A2E1CC"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7BFE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A0B0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distinctive features and modes of argument and presentation of the post-Kantian philosophical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542F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5CAA6"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 xml:space="preserve">Construct and sustain complex arguments about </w:t>
            </w:r>
            <w:proofErr w:type="gramStart"/>
            <w:r w:rsidRPr="000D3817">
              <w:rPr>
                <w:rFonts w:ascii="Arial" w:hAnsi="Arial" w:cs="Arial"/>
                <w:sz w:val="21"/>
                <w:lang w:val="en-US"/>
              </w:rPr>
              <w:t>matters</w:t>
            </w:r>
            <w:proofErr w:type="gramEnd"/>
            <w:r w:rsidRPr="000D3817">
              <w:rPr>
                <w:rFonts w:ascii="Arial" w:hAnsi="Arial" w:cs="Arial"/>
                <w:sz w:val="21"/>
                <w:lang w:val="en-US"/>
              </w:rPr>
              <w:t xml:space="preserve"> of a fundamental and abstract nature, and express them in clear and accurate English prose.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C3DD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1CC8"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proofErr w:type="spellStart"/>
            <w:r w:rsidRPr="000D3817">
              <w:rPr>
                <w:rFonts w:ascii="Arial" w:hAnsi="Arial" w:cs="Arial"/>
                <w:sz w:val="21"/>
                <w:lang w:val="en-US"/>
              </w:rPr>
              <w:t>Organise</w:t>
            </w:r>
            <w:proofErr w:type="spellEnd"/>
            <w:r w:rsidRPr="000D3817">
              <w:rPr>
                <w:rFonts w:ascii="Arial" w:hAnsi="Arial" w:cs="Arial"/>
                <w:sz w:val="21"/>
                <w:lang w:val="en-US"/>
              </w:rPr>
              <w:t xml:space="preserve"> and sustain wide-ranging research over </w:t>
            </w:r>
            <w:proofErr w:type="gramStart"/>
            <w:r w:rsidRPr="000D3817">
              <w:rPr>
                <w:rFonts w:ascii="Arial" w:hAnsi="Arial" w:cs="Arial"/>
                <w:sz w:val="21"/>
                <w:lang w:val="en-US"/>
              </w:rPr>
              <w:t>a period of time</w:t>
            </w:r>
            <w:proofErr w:type="gramEnd"/>
            <w:r w:rsidRPr="000D3817">
              <w:rPr>
                <w:rFonts w:ascii="Arial" w:hAnsi="Arial" w:cs="Arial"/>
                <w:sz w:val="21"/>
                <w:lang w:val="en-US"/>
              </w:rPr>
              <w:t xml:space="preserve"> and to structure and present a complex argument in a coherent fashion</w:t>
            </w:r>
          </w:p>
        </w:tc>
      </w:tr>
      <w:tr w:rsidR="00686698" w:rsidRPr="00C341BB" w14:paraId="0B4ACC2F"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D3158"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AB58A"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34E4B"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F60F2"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70B9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 xml:space="preserve">C5 </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56EDD"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Demonstrate professional skills (including self-presentation, communication, interpersonal/teamwork, research and information literacy, numeracy, time-management and project-planning, management and leadership skills, and ethical practice).</w:t>
            </w:r>
          </w:p>
        </w:tc>
      </w:tr>
    </w:tbl>
    <w:p w14:paraId="05257EAA" w14:textId="77777777" w:rsidR="000D3817" w:rsidRDefault="000D381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5E4E8880" w14:textId="77777777" w:rsidR="000D3817" w:rsidRDefault="000D3817">
      <w:pPr>
        <w:pBdr>
          <w:top w:val="none" w:sz="0" w:space="0" w:color="auto"/>
          <w:left w:val="none" w:sz="0" w:space="0" w:color="auto"/>
          <w:bottom w:val="none" w:sz="0" w:space="0" w:color="auto"/>
          <w:right w:val="none" w:sz="0" w:space="0" w:color="auto"/>
          <w:bar w:val="none" w:sz="0" w:color="auto"/>
        </w:pBdr>
        <w:rPr>
          <w:rFonts w:ascii="Arial" w:hAnsi="Arial" w:cs="Arial"/>
          <w:color w:val="000000"/>
          <w:sz w:val="22"/>
          <w:szCs w:val="22"/>
          <w:u w:color="000000"/>
          <w:lang w:eastAsia="en-GB"/>
        </w:rPr>
      </w:pPr>
      <w:r>
        <w:rPr>
          <w:rFonts w:ascii="Arial" w:hAnsi="Arial" w:cs="Arial"/>
        </w:rPr>
        <w:br w:type="page"/>
      </w:r>
    </w:p>
    <w:p w14:paraId="0A7512A9" w14:textId="0A78FB54"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In addition to the programme learning outcomes identified overleaf, the programme of study defined in this programme specification will allow students to develop a range of Key Skills as follows:</w:t>
      </w:r>
    </w:p>
    <w:p w14:paraId="485997E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140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008"/>
        <w:gridCol w:w="2009"/>
        <w:gridCol w:w="2009"/>
        <w:gridCol w:w="2009"/>
        <w:gridCol w:w="2009"/>
        <w:gridCol w:w="2009"/>
        <w:gridCol w:w="2009"/>
      </w:tblGrid>
      <w:tr w:rsidR="00686698" w:rsidRPr="00C341BB" w14:paraId="3357D0B0" w14:textId="77777777" w:rsidTr="000D3817">
        <w:trPr>
          <w:trHeight w:val="160"/>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025C08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t>Key Skills</w:t>
            </w:r>
          </w:p>
        </w:tc>
      </w:tr>
      <w:tr w:rsidR="00686698" w:rsidRPr="00C341BB" w14:paraId="602611E1"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AEDBB0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Self-Awareness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D2C627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Communication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AC968A9"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Interpersonal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BC0EC8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Research and information Literacy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3F5F79"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Numeracy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13E69A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Management &amp; Leadership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2688E40" w14:textId="38D0826D"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Creativity and Problem</w:t>
            </w:r>
            <w:r w:rsidR="000D3817">
              <w:rPr>
                <w:rFonts w:ascii="Arial Bold" w:hAnsi="Arial Bold" w:cs="Arial"/>
                <w:b/>
                <w:bCs/>
                <w:sz w:val="20"/>
                <w:szCs w:val="20"/>
                <w:lang w:val="en-US"/>
              </w:rPr>
              <w:t>-</w:t>
            </w:r>
            <w:r w:rsidRPr="000D3817">
              <w:rPr>
                <w:rFonts w:ascii="Arial Bold" w:hAnsi="Arial Bold" w:cs="Arial"/>
                <w:b/>
                <w:bCs/>
                <w:sz w:val="20"/>
                <w:szCs w:val="20"/>
                <w:lang w:val="en-US"/>
              </w:rPr>
              <w:t>Solving Skills</w:t>
            </w:r>
          </w:p>
        </w:tc>
      </w:tr>
      <w:tr w:rsidR="00686698" w:rsidRPr="00C341BB" w14:paraId="7030E4C6"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8BC68" w14:textId="53A4B306"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Take responsibility </w:t>
            </w:r>
            <w:r w:rsidR="00AD1FB7" w:rsidRPr="000D3817">
              <w:rPr>
                <w:rFonts w:ascii="Arial" w:hAnsi="Arial" w:cs="Arial"/>
                <w:sz w:val="18"/>
                <w:szCs w:val="20"/>
                <w:lang w:val="en-US"/>
              </w:rPr>
              <w:t>for own</w:t>
            </w:r>
            <w:r w:rsidRPr="000D3817">
              <w:rPr>
                <w:rFonts w:ascii="Arial" w:hAnsi="Arial" w:cs="Arial"/>
                <w:sz w:val="18"/>
                <w:szCs w:val="20"/>
                <w:lang w:val="en-US"/>
              </w:rPr>
              <w:t xml:space="preserve"> learning and plan for and record own personal development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0A93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Express ideas clearly and unambiguously in writing and the spoken work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77440" w14:textId="772F6B45"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Work </w:t>
            </w:r>
            <w:r w:rsidR="00AD1FB7" w:rsidRPr="000D3817">
              <w:rPr>
                <w:rFonts w:ascii="Arial" w:hAnsi="Arial" w:cs="Arial"/>
                <w:sz w:val="18"/>
                <w:szCs w:val="20"/>
                <w:lang w:val="en-US"/>
              </w:rPr>
              <w:t>well with</w:t>
            </w:r>
            <w:r w:rsidRPr="000D3817">
              <w:rPr>
                <w:rFonts w:ascii="Arial" w:hAnsi="Arial" w:cs="Arial"/>
                <w:sz w:val="18"/>
                <w:szCs w:val="20"/>
                <w:lang w:val="en-US"/>
              </w:rPr>
              <w:t xml:space="preserve"> others in a group or team</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37E9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Search for and select relevant sources of information</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D0BD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Collect data from primary and secondary sources and use appropriate methods to manipulate and </w:t>
            </w:r>
            <w:proofErr w:type="spellStart"/>
            <w:r w:rsidRPr="000D3817">
              <w:rPr>
                <w:rFonts w:ascii="Arial" w:hAnsi="Arial" w:cs="Arial"/>
                <w:sz w:val="18"/>
                <w:szCs w:val="20"/>
                <w:lang w:val="en-US"/>
              </w:rPr>
              <w:t>analyse</w:t>
            </w:r>
            <w:proofErr w:type="spellEnd"/>
            <w:r w:rsidRPr="000D3817">
              <w:rPr>
                <w:rFonts w:ascii="Arial" w:hAnsi="Arial" w:cs="Arial"/>
                <w:sz w:val="18"/>
                <w:szCs w:val="20"/>
                <w:lang w:val="en-US"/>
              </w:rPr>
              <w:t xml:space="preserve"> this data</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B7FB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Determine the scope of a task (or project)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02038"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Apply scientific and other knowledge to </w:t>
            </w:r>
            <w:proofErr w:type="spellStart"/>
            <w:r w:rsidRPr="000D3817">
              <w:rPr>
                <w:rFonts w:ascii="Arial" w:hAnsi="Arial" w:cs="Arial"/>
                <w:sz w:val="18"/>
                <w:szCs w:val="20"/>
                <w:lang w:val="en-US"/>
              </w:rPr>
              <w:t>analyse</w:t>
            </w:r>
            <w:proofErr w:type="spellEnd"/>
            <w:r w:rsidRPr="000D3817">
              <w:rPr>
                <w:rFonts w:ascii="Arial" w:hAnsi="Arial" w:cs="Arial"/>
                <w:sz w:val="18"/>
                <w:szCs w:val="20"/>
                <w:lang w:val="en-US"/>
              </w:rPr>
              <w:t xml:space="preserve"> and evaluate information and data and to find solutions to problems</w:t>
            </w:r>
          </w:p>
        </w:tc>
      </w:tr>
      <w:tr w:rsidR="00686698" w:rsidRPr="00C341BB" w14:paraId="4DAB7324"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777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Recognise own academic strengths and weaknesses, reflect on performance and progress and respond to feedback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3F91A" w14:textId="7D805CFC"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Present, challenge and </w:t>
            </w:r>
            <w:r w:rsidR="00AD1FB7" w:rsidRPr="000D3817">
              <w:rPr>
                <w:rFonts w:ascii="Arial" w:hAnsi="Arial" w:cs="Arial"/>
                <w:sz w:val="18"/>
                <w:szCs w:val="20"/>
                <w:lang w:val="en-US"/>
              </w:rPr>
              <w:t>defend ideas</w:t>
            </w:r>
            <w:r w:rsidRPr="000D3817">
              <w:rPr>
                <w:rFonts w:ascii="Arial" w:hAnsi="Arial" w:cs="Arial"/>
                <w:sz w:val="18"/>
                <w:szCs w:val="20"/>
                <w:lang w:val="en-US"/>
              </w:rPr>
              <w:t xml:space="preserve"> and results effectively orally and in writing</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8262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flexibly and respond to change</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B5EA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Critically evaluate information and use it appropriately</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A51D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Present and record data in appropriate formats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312B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Identify resources needed to undertake the task (or project) and to schedule and manage the resources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15CA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with complex ideas and justify judgements made through effective use of evidence</w:t>
            </w:r>
          </w:p>
        </w:tc>
      </w:tr>
      <w:tr w:rsidR="00686698" w:rsidRPr="00C341BB" w14:paraId="630A6DB4"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001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proofErr w:type="spellStart"/>
            <w:r w:rsidRPr="000D3817">
              <w:rPr>
                <w:rFonts w:ascii="Arial" w:hAnsi="Arial" w:cs="Arial"/>
                <w:sz w:val="18"/>
                <w:szCs w:val="20"/>
                <w:lang w:val="en-US"/>
              </w:rPr>
              <w:t>Organise</w:t>
            </w:r>
            <w:proofErr w:type="spellEnd"/>
            <w:r w:rsidRPr="000D3817">
              <w:rPr>
                <w:rFonts w:ascii="Arial" w:hAnsi="Arial" w:cs="Arial"/>
                <w:sz w:val="18"/>
                <w:szCs w:val="20"/>
                <w:lang w:val="en-US"/>
              </w:rPr>
              <w:t xml:space="preserve"> self effectively, agreeing and setting realistic targets, accessing support where appropriate and managing time to achieve targets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8A42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Actively listen and respond appropriately to ideas of others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D6DE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Discuss and debate with others and make concession to reach agreement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E816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Apply the ethical and legal requirements in both the access and use of information</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61D3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Interpret and evaluate data to inform and justify arguments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C6D1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Evidence ability to successfully complete and evaluate a task (or project), revising the plan where necessary</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1496B"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r w:rsidR="00686698" w:rsidRPr="00C341BB" w14:paraId="37B1ADEA"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F787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effectively with limited supervision in unfamiliar contexts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C7007"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2826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Give, </w:t>
            </w:r>
            <w:proofErr w:type="gramStart"/>
            <w:r w:rsidRPr="000D3817">
              <w:rPr>
                <w:rFonts w:ascii="Arial" w:hAnsi="Arial" w:cs="Arial"/>
                <w:sz w:val="18"/>
                <w:szCs w:val="20"/>
                <w:lang w:val="en-US"/>
              </w:rPr>
              <w:t>accept</w:t>
            </w:r>
            <w:proofErr w:type="gramEnd"/>
            <w:r w:rsidRPr="000D3817">
              <w:rPr>
                <w:rFonts w:ascii="Arial" w:hAnsi="Arial" w:cs="Arial"/>
                <w:sz w:val="18"/>
                <w:szCs w:val="20"/>
                <w:lang w:val="en-US"/>
              </w:rPr>
              <w:t xml:space="preserve"> and respond to constructive feedback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081C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Accurately cite and reference information sources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08917"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Be aware of issues of selection, accuracy and uncertainty in the collection and analysis of data</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7F53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Motivate and direct others to enable an effective contribution from all participants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84D14"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r w:rsidR="00686698" w:rsidRPr="00C341BB" w14:paraId="458A88F2" w14:textId="77777777" w:rsidTr="000D3817">
        <w:trPr>
          <w:trHeight w:val="404"/>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C5F2"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BA9E3"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11C3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Show sensitivity and respect for diverse values and beliefs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35C8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Use software and IT technology as appropriate</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11031"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6F25C"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C5CA3"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bl>
    <w:p w14:paraId="6EB47A7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CCA025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sectPr w:rsidR="00686698" w:rsidRPr="00C341BB" w:rsidSect="000D3817">
          <w:pgSz w:w="16840" w:h="11900" w:orient="landscape"/>
          <w:pgMar w:top="1440" w:right="1440" w:bottom="1440" w:left="1440" w:header="709" w:footer="709" w:gutter="0"/>
          <w:cols w:space="720"/>
          <w:docGrid w:linePitch="326"/>
        </w:sectPr>
      </w:pPr>
    </w:p>
    <w:p w14:paraId="0CC798FF"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lang w:val="en-US"/>
        </w:rPr>
        <w:lastRenderedPageBreak/>
        <w:t>Entry Requirements</w:t>
      </w:r>
    </w:p>
    <w:p w14:paraId="6045319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98D896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The minimum entry qualifications for the programme are:</w:t>
      </w:r>
    </w:p>
    <w:p w14:paraId="25DE5E0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EC9682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From BA: Normally a good (2:1 or upper-second class </w:t>
      </w:r>
      <w:proofErr w:type="spellStart"/>
      <w:r w:rsidRPr="00C341BB">
        <w:rPr>
          <w:rFonts w:ascii="Arial" w:hAnsi="Arial" w:cs="Arial"/>
          <w:lang w:val="en-US"/>
        </w:rPr>
        <w:t>honours</w:t>
      </w:r>
      <w:proofErr w:type="spellEnd"/>
      <w:r w:rsidRPr="00C341BB">
        <w:rPr>
          <w:rFonts w:ascii="Arial" w:hAnsi="Arial" w:cs="Arial"/>
          <w:lang w:val="en-US"/>
        </w:rPr>
        <w:t>,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6FACF8C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CFEF7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A minimum, overall IELTS score of 6.5 or equivalent is required for those for whom English is not their first language.</w:t>
      </w:r>
    </w:p>
    <w:p w14:paraId="19234D2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b/>
          <w:bCs/>
        </w:rPr>
        <w:tab/>
      </w:r>
      <w:r w:rsidRPr="00C341BB">
        <w:rPr>
          <w:rFonts w:ascii="Arial" w:hAnsi="Arial" w:cs="Arial"/>
          <w:b/>
          <w:bCs/>
        </w:rPr>
        <w:tab/>
      </w:r>
    </w:p>
    <w:p w14:paraId="7A529FBC"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fr-FR"/>
        </w:rPr>
        <w:t>Programme Structure</w:t>
      </w:r>
    </w:p>
    <w:p w14:paraId="4EC6EAB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4026DB86"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C341BB">
        <w:rPr>
          <w:rFonts w:ascii="Arial" w:hAnsi="Arial" w:cs="Arial"/>
          <w:sz w:val="22"/>
          <w:szCs w:val="22"/>
        </w:rPr>
        <w:t>This programme is offered in full-time, part-time and ‘with professional placement’ mode, and leads to the award of MA Modern European Philosophy (interim awards: PG Cert Modern European Philosophy; PG Dip Modern European Philosophy).</w:t>
      </w:r>
    </w:p>
    <w:p w14:paraId="2DC07F3E"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ind w:left="720"/>
        <w:rPr>
          <w:rFonts w:ascii="Arial" w:hAnsi="Arial" w:cs="Arial"/>
          <w:sz w:val="22"/>
          <w:szCs w:val="22"/>
        </w:rPr>
      </w:pPr>
    </w:p>
    <w:p w14:paraId="4CDE4603"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C341BB">
        <w:rPr>
          <w:rFonts w:ascii="Arial" w:hAnsi="Arial" w:cs="Arial"/>
          <w:sz w:val="22"/>
          <w:szCs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0630CEC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979CB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E1.</w:t>
      </w:r>
      <w:r w:rsidRPr="00C341BB">
        <w:rPr>
          <w:rFonts w:ascii="Arial" w:hAnsi="Arial" w:cs="Arial"/>
          <w:b/>
          <w:bCs/>
        </w:rPr>
        <w:tab/>
        <w:t>Professional and Statutory Regulatory Bodies</w:t>
      </w:r>
    </w:p>
    <w:p w14:paraId="708EA4C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ab/>
      </w:r>
    </w:p>
    <w:p w14:paraId="2B53D7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N/A</w:t>
      </w:r>
    </w:p>
    <w:p w14:paraId="4A919DD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F61ED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E2.</w:t>
      </w:r>
      <w:r w:rsidRPr="00C341BB">
        <w:rPr>
          <w:rFonts w:ascii="Arial" w:hAnsi="Arial" w:cs="Arial"/>
          <w:b/>
          <w:bCs/>
        </w:rPr>
        <w:tab/>
        <w:t>Work-based learning</w:t>
      </w:r>
    </w:p>
    <w:p w14:paraId="7ADDFC4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720"/>
        <w:rPr>
          <w:rFonts w:ascii="Arial" w:hAnsi="Arial" w:cs="Arial"/>
        </w:rPr>
      </w:pPr>
    </w:p>
    <w:p w14:paraId="312545C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C341BB">
        <w:rPr>
          <w:rFonts w:ascii="Arial" w:hAnsi="Arial" w:cs="Arial"/>
          <w:lang w:val="en-US"/>
        </w:rPr>
        <w:t xml:space="preserve">Work placement is an integral part of the 2-year programme and students will receive support from the </w:t>
      </w:r>
      <w:proofErr w:type="gramStart"/>
      <w:r w:rsidRPr="00C341BB">
        <w:rPr>
          <w:rFonts w:ascii="Arial" w:hAnsi="Arial" w:cs="Arial"/>
          <w:lang w:val="en-US"/>
        </w:rPr>
        <w:t>award winning</w:t>
      </w:r>
      <w:proofErr w:type="gramEnd"/>
      <w:r w:rsidRPr="00C341BB">
        <w:rPr>
          <w:rFonts w:ascii="Arial" w:hAnsi="Arial" w:cs="Arial"/>
          <w:lang w:val="en-US"/>
        </w:rPr>
        <w:t xml:space="preserve"> Careers and Employability Services team.</w:t>
      </w:r>
    </w:p>
    <w:p w14:paraId="7DF1DC0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w:t>
      </w:r>
      <w:proofErr w:type="spellStart"/>
      <w:r w:rsidRPr="00C341BB">
        <w:rPr>
          <w:rFonts w:ascii="Arial" w:hAnsi="Arial" w:cs="Arial"/>
          <w:lang w:val="en-US"/>
        </w:rPr>
        <w:t>centre</w:t>
      </w:r>
      <w:proofErr w:type="spellEnd"/>
      <w:r w:rsidRPr="00C341BB">
        <w:rPr>
          <w:rFonts w:ascii="Arial" w:hAnsi="Arial" w:cs="Arial"/>
          <w:lang w:val="en-US"/>
        </w:rPr>
        <w:t xml:space="preserve"> activities and psychometric tests. Sourcing and applying for placement(s) </w:t>
      </w:r>
      <w:proofErr w:type="gramStart"/>
      <w:r w:rsidRPr="00C341BB">
        <w:rPr>
          <w:rFonts w:ascii="Arial" w:hAnsi="Arial" w:cs="Arial"/>
          <w:lang w:val="en-US"/>
        </w:rPr>
        <w:t>gives</w:t>
      </w:r>
      <w:proofErr w:type="gramEnd"/>
      <w:r w:rsidRPr="00C341BB">
        <w:rPr>
          <w:rFonts w:ascii="Arial" w:hAnsi="Arial" w:cs="Arial"/>
          <w:lang w:val="en-US"/>
        </w:rPr>
        <w:t xml:space="preserve"> students the opportunity to experience a competitive job application process.</w:t>
      </w:r>
    </w:p>
    <w:p w14:paraId="4293978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328972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73C1BE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80700C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E3.</w:t>
      </w:r>
      <w:r w:rsidRPr="00C341BB">
        <w:rPr>
          <w:rFonts w:ascii="Arial" w:hAnsi="Arial" w:cs="Arial"/>
          <w:b/>
          <w:bCs/>
        </w:rPr>
        <w:tab/>
        <w:t>Outline Programme Structure</w:t>
      </w:r>
    </w:p>
    <w:p w14:paraId="5FB58A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29FFF50" w14:textId="77777777" w:rsidR="00686698" w:rsidRPr="00C341BB" w:rsidRDefault="00686698">
      <w:pPr>
        <w:pStyle w:val="NormalWeb"/>
        <w:pBdr>
          <w:top w:val="none" w:sz="0" w:space="0" w:color="auto"/>
          <w:left w:val="none" w:sz="0" w:space="0" w:color="auto"/>
          <w:bottom w:val="none" w:sz="0" w:space="0" w:color="auto"/>
          <w:right w:val="none" w:sz="0" w:space="0" w:color="auto"/>
          <w:bar w:val="none" w:sz="0" w:color="auto"/>
        </w:pBdr>
        <w:spacing w:after="0"/>
        <w:rPr>
          <w:rFonts w:ascii="Arial" w:hAnsi="Arial" w:cs="Arial"/>
          <w:sz w:val="22"/>
          <w:szCs w:val="22"/>
        </w:rPr>
      </w:pPr>
      <w:r w:rsidRPr="00C341BB">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5F12900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62B5E7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C341BB">
        <w:rPr>
          <w:rFonts w:ascii="Arial" w:hAnsi="Arial" w:cs="Arial"/>
          <w:lang w:val="en-US"/>
        </w:rPr>
        <w:t>Students on the 2-year programme (with integrated placement) must complete all modules except the final ‘</w:t>
      </w:r>
      <w:r w:rsidRPr="00C341BB">
        <w:rPr>
          <w:rFonts w:ascii="Arial" w:hAnsi="Arial" w:cs="Arial"/>
        </w:rPr>
        <w:t>capstone project</w:t>
      </w:r>
      <w:r w:rsidRPr="00C341BB">
        <w:rPr>
          <w:rFonts w:ascii="Arial" w:hAnsi="Arial" w:cs="Arial"/>
          <w:lang w:val="en-US"/>
        </w:rPr>
        <w:t xml:space="preserve">’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w:t>
      </w:r>
      <w:r w:rsidRPr="00C341BB">
        <w:rPr>
          <w:rFonts w:ascii="Arial" w:hAnsi="Arial" w:cs="Arial"/>
          <w:lang w:val="en-US"/>
        </w:rPr>
        <w:lastRenderedPageBreak/>
        <w:t>assessment which includes a reflection on how they have applied the skills they have developed during the previous year, within a professional working environment.</w:t>
      </w:r>
    </w:p>
    <w:p w14:paraId="28D2D3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C341BB">
        <w:rPr>
          <w:rFonts w:ascii="Arial" w:hAnsi="Arial" w:cs="Arial"/>
          <w:lang w:val="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
        <w:gridCol w:w="4387"/>
        <w:gridCol w:w="1274"/>
        <w:gridCol w:w="992"/>
        <w:gridCol w:w="850"/>
        <w:gridCol w:w="1275"/>
      </w:tblGrid>
      <w:tr w:rsidR="00686698" w:rsidRPr="00C341BB" w14:paraId="292DF325" w14:textId="77777777" w:rsidTr="69ADC3AC">
        <w:trPr>
          <w:trHeight w:val="180"/>
        </w:trPr>
        <w:tc>
          <w:tcPr>
            <w:tcW w:w="87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3B1B80E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bookmarkStart w:id="0" w:name="_Hlk71634472"/>
            <w:r w:rsidRPr="00C341BB">
              <w:rPr>
                <w:rFonts w:ascii="Arial" w:hAnsi="Arial" w:cs="Arial"/>
                <w:b/>
                <w:bCs/>
                <w:lang w:val="en-US"/>
              </w:rPr>
              <w:t>Level 7</w:t>
            </w:r>
          </w:p>
        </w:tc>
      </w:tr>
      <w:tr w:rsidR="00686698" w:rsidRPr="00C341BB" w14:paraId="44849B55"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D58D4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Compulsory modules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990D5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Module code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A2BAA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lang w:val="en-US"/>
              </w:rPr>
            </w:pPr>
            <w:r w:rsidRPr="00C341BB">
              <w:rPr>
                <w:rFonts w:ascii="Arial" w:hAnsi="Arial" w:cs="Arial"/>
                <w:b/>
                <w:bCs/>
                <w:lang w:val="en-US"/>
              </w:rPr>
              <w:t xml:space="preserve">Credit </w:t>
            </w:r>
          </w:p>
          <w:p w14:paraId="3CE0251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Value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FAA2B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 xml:space="preserve">Level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41206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Teaching Block</w:t>
            </w:r>
          </w:p>
        </w:tc>
      </w:tr>
      <w:tr w:rsidR="00686698" w:rsidRPr="00C341BB" w14:paraId="1D53AEEE"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47E12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Kant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953D6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61870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855BD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20907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3BC43B84"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6A97A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Dissertation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49E96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PH7001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8B92D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8D496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46B61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 and 3</w:t>
            </w:r>
          </w:p>
        </w:tc>
      </w:tr>
      <w:tr w:rsidR="00686698" w:rsidRPr="00C341BB" w14:paraId="1D652640" w14:textId="77777777" w:rsidTr="69ADC3AC">
        <w:trPr>
          <w:trHeight w:val="180"/>
        </w:trPr>
        <w:tc>
          <w:tcPr>
            <w:tcW w:w="87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722C02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Option modules</w:t>
            </w:r>
          </w:p>
        </w:tc>
      </w:tr>
      <w:tr w:rsidR="00686698" w:rsidRPr="00C341BB" w14:paraId="7E4707A2"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7930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Kant and the Aesthetic Tradition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42C06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DAFE5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5D074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EE2D2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490C4D90"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CE8FF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Art Theory: Modernist, Avant-garde, Contemporary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74BB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5AA02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BFF52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2DB1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6DAB8423"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08599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Plasticity and Form</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61CC3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E5775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20E29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A23A82" w14:textId="4496FCF6" w:rsidR="00686698" w:rsidRPr="00C341BB" w:rsidRDefault="00232E6A">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lang w:val="en-US"/>
              </w:rPr>
              <w:t xml:space="preserve">1 </w:t>
            </w:r>
            <w:r w:rsidRPr="00232E6A">
              <w:rPr>
                <w:rFonts w:ascii="Arial" w:hAnsi="Arial" w:cs="Arial"/>
                <w:u w:val="single"/>
                <w:lang w:val="en-US"/>
              </w:rPr>
              <w:t>or</w:t>
            </w:r>
            <w:r>
              <w:rPr>
                <w:rFonts w:ascii="Arial" w:hAnsi="Arial" w:cs="Arial"/>
                <w:lang w:val="en-US"/>
              </w:rPr>
              <w:t xml:space="preserve"> </w:t>
            </w:r>
            <w:r w:rsidR="00686698" w:rsidRPr="00C341BB">
              <w:rPr>
                <w:rFonts w:ascii="Arial" w:hAnsi="Arial" w:cs="Arial"/>
                <w:lang w:val="en-US"/>
              </w:rPr>
              <w:t>2</w:t>
            </w:r>
          </w:p>
        </w:tc>
      </w:tr>
      <w:tr w:rsidR="00686698" w:rsidRPr="00C341BB" w14:paraId="55D7D392"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F916A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Philosophy of Art History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E783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BDD55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AE898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EE3D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079C81AB"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DC7CC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Hegel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BB7F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BE024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6A65C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CFC3E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68C7D1D8"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27286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Nietzsche and Heidegger</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46DD5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A693E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85907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04D76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4F517888"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CA465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Recent French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F9C05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5494A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D8D7B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D84EB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7F88F233"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89EB6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Topics in Modern European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177FE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931D2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D1751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8702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70FFB7FC"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C08B2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Political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673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B8B1D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8A7D6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FA00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58B3B94D"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42241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Critique, Practice, Power</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6ECB8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PH7901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83306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E5570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499A5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2EE01284"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D89EC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Modes of Subjection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512A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E72F7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3DE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A865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07652AAA"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332F2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Recent Italian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A5369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2C6B5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1EC7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E557C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1</w:t>
            </w:r>
          </w:p>
        </w:tc>
      </w:tr>
      <w:tr w:rsidR="00686698" w:rsidRPr="00C341BB" w14:paraId="08623FBF"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22662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German Critical Theory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B652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79223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225F3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AC77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7CD0988E"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343C4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Marx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FA65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2192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10E25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C88C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66EEAFE0"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7968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Philosophy and Psychoanalysis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9BE2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602EE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3F48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F81FF4" w14:textId="17D5A0D3" w:rsidR="00686698" w:rsidRPr="00C341BB" w:rsidRDefault="00232E6A">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Pr>
                <w:rFonts w:ascii="Arial" w:hAnsi="Arial" w:cs="Arial"/>
                <w:lang w:val="en-US"/>
              </w:rPr>
              <w:t xml:space="preserve">1 </w:t>
            </w:r>
            <w:r w:rsidRPr="00232E6A">
              <w:rPr>
                <w:rFonts w:ascii="Arial" w:hAnsi="Arial" w:cs="Arial"/>
                <w:u w:val="single"/>
                <w:lang w:val="en-US"/>
              </w:rPr>
              <w:t>or</w:t>
            </w:r>
            <w:r>
              <w:rPr>
                <w:rFonts w:ascii="Arial" w:hAnsi="Arial" w:cs="Arial"/>
                <w:lang w:val="en-US"/>
              </w:rPr>
              <w:t xml:space="preserve"> </w:t>
            </w:r>
            <w:r w:rsidR="00686698" w:rsidRPr="00C341BB">
              <w:rPr>
                <w:rFonts w:ascii="Arial" w:hAnsi="Arial" w:cs="Arial"/>
                <w:lang w:val="en-US"/>
              </w:rPr>
              <w:t>2</w:t>
            </w:r>
          </w:p>
        </w:tc>
      </w:tr>
      <w:tr w:rsidR="00686698" w:rsidRPr="00C341BB" w14:paraId="1F2A883E"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DE153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color w:val="auto"/>
              </w:rPr>
            </w:pPr>
            <w:r w:rsidRPr="00C341BB">
              <w:rPr>
                <w:rFonts w:ascii="Arial" w:hAnsi="Arial" w:cs="Arial"/>
                <w:color w:val="auto"/>
              </w:rPr>
              <w:t>Planetary Aesthetics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E0CDF2" w14:textId="57CED760" w:rsidR="00686698" w:rsidRPr="00C341BB" w:rsidRDefault="69ADC3AC">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PH7</w:t>
            </w:r>
            <w:r w:rsidR="000817D8">
              <w:rPr>
                <w:rFonts w:ascii="Arial" w:hAnsi="Arial" w:cs="Arial"/>
                <w:color w:val="auto"/>
              </w:rPr>
              <w:t>706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49BD9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FA38D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648AB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2</w:t>
            </w:r>
          </w:p>
        </w:tc>
      </w:tr>
      <w:tr w:rsidR="00686698" w:rsidRPr="00C341BB" w14:paraId="31B1CB60"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B96C5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Professional Placement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7F34A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HU7100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14CB9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D2DAD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22171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lang w:val="en-US"/>
              </w:rPr>
            </w:pPr>
            <w:r w:rsidRPr="00C341BB">
              <w:rPr>
                <w:rFonts w:ascii="Arial" w:hAnsi="Arial" w:cs="Arial"/>
                <w:lang w:val="en-US"/>
              </w:rPr>
              <w:t>TB3 (</w:t>
            </w:r>
            <w:proofErr w:type="spellStart"/>
            <w:r w:rsidRPr="00C341BB">
              <w:rPr>
                <w:rFonts w:ascii="Arial" w:hAnsi="Arial" w:cs="Arial"/>
                <w:lang w:val="en-US"/>
              </w:rPr>
              <w:t>Yr</w:t>
            </w:r>
            <w:proofErr w:type="spellEnd"/>
            <w:r w:rsidRPr="00C341BB">
              <w:rPr>
                <w:rFonts w:ascii="Arial" w:hAnsi="Arial" w:cs="Arial"/>
                <w:lang w:val="en-US"/>
              </w:rPr>
              <w:t xml:space="preserve"> 1) and TB1&amp;</w:t>
            </w:r>
          </w:p>
          <w:p w14:paraId="06DB9A0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TB2 (</w:t>
            </w:r>
            <w:proofErr w:type="spellStart"/>
            <w:r w:rsidRPr="00C341BB">
              <w:rPr>
                <w:rFonts w:ascii="Arial" w:hAnsi="Arial" w:cs="Arial"/>
                <w:lang w:val="en-US"/>
              </w:rPr>
              <w:t>Yr</w:t>
            </w:r>
            <w:proofErr w:type="spellEnd"/>
            <w:r w:rsidRPr="00C341BB">
              <w:rPr>
                <w:rFonts w:ascii="Arial" w:hAnsi="Arial" w:cs="Arial"/>
                <w:lang w:val="en-US"/>
              </w:rPr>
              <w:t xml:space="preserve"> 2)</w:t>
            </w:r>
          </w:p>
        </w:tc>
      </w:tr>
      <w:bookmarkEnd w:id="0"/>
    </w:tbl>
    <w:p w14:paraId="0CD3F5E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p>
    <w:p w14:paraId="3A8C373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92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247"/>
      </w:tblGrid>
      <w:tr w:rsidR="00686698" w:rsidRPr="00C341BB" w14:paraId="3D8CAE5C" w14:textId="77777777">
        <w:trPr>
          <w:trHeight w:val="160"/>
        </w:trPr>
        <w:tc>
          <w:tcPr>
            <w:tcW w:w="9247" w:type="dxa"/>
            <w:tcBorders>
              <w:top w:val="nil"/>
              <w:left w:val="nil"/>
              <w:bottom w:val="nil"/>
              <w:right w:val="nil"/>
            </w:tcBorders>
            <w:tcMar>
              <w:top w:w="80" w:type="dxa"/>
              <w:left w:w="80" w:type="dxa"/>
              <w:bottom w:w="80" w:type="dxa"/>
              <w:right w:w="80" w:type="dxa"/>
            </w:tcMar>
          </w:tcPr>
          <w:p w14:paraId="30300716"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r>
    </w:tbl>
    <w:p w14:paraId="5909D15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8AFFEB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Students must choose ONE of the following modules: PH7802 Hegel and His Legacy, PH7803 Nietzsche and Heidegger, PH7804 Recent French Philosophy, PH7806 Political Philosophy, PH7903 Recent Italian Philosophy.</w:t>
      </w:r>
    </w:p>
    <w:p w14:paraId="42CBC11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DBA9C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Students exiting the programme with 60 credits are eligible for the award of </w:t>
      </w:r>
      <w:proofErr w:type="spellStart"/>
      <w:r w:rsidRPr="00C341BB">
        <w:rPr>
          <w:rFonts w:ascii="Arial" w:hAnsi="Arial" w:cs="Arial"/>
          <w:lang w:val="en-US"/>
        </w:rPr>
        <w:t>PgCert</w:t>
      </w:r>
      <w:proofErr w:type="spellEnd"/>
      <w:r w:rsidRPr="00C341BB">
        <w:rPr>
          <w:rFonts w:ascii="Arial" w:hAnsi="Arial" w:cs="Arial"/>
          <w:lang w:val="en-US"/>
        </w:rPr>
        <w:t xml:space="preserve"> in Modern European Philosophy.</w:t>
      </w:r>
    </w:p>
    <w:p w14:paraId="1B0F764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B3997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Students exiting the programme with 120 credits are eligible for the award of PgDip in Modern European Philosophy.</w:t>
      </w:r>
    </w:p>
    <w:p w14:paraId="2B871F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9CD130D"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Principles of Teaching Learning and Assessment </w:t>
      </w:r>
    </w:p>
    <w:p w14:paraId="4B60C8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B0B881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w:t>
      </w:r>
      <w:proofErr w:type="spellStart"/>
      <w:r w:rsidRPr="00C341BB">
        <w:rPr>
          <w:rFonts w:ascii="Arial" w:hAnsi="Arial" w:cs="Arial"/>
          <w:lang w:val="en-US"/>
        </w:rPr>
        <w:t>focussed</w:t>
      </w:r>
      <w:proofErr w:type="spellEnd"/>
      <w:r w:rsidRPr="00C341BB">
        <w:rPr>
          <w:rFonts w:ascii="Arial" w:hAnsi="Arial" w:cs="Arial"/>
          <w:lang w:val="en-US"/>
        </w:rPr>
        <w:t xml:space="preserve">, explaining core aspects of the syllabus and its intellectual context, as well as offering models of interpretation and commentary. Seminar discussions explore the understanding of set texts and lecture materials and develop skills of exegesis, </w:t>
      </w:r>
      <w:proofErr w:type="gramStart"/>
      <w:r w:rsidRPr="00C341BB">
        <w:rPr>
          <w:rFonts w:ascii="Arial" w:hAnsi="Arial" w:cs="Arial"/>
          <w:lang w:val="en-US"/>
        </w:rPr>
        <w:t>argumentation</w:t>
      </w:r>
      <w:proofErr w:type="gramEnd"/>
      <w:r w:rsidRPr="00C341BB">
        <w:rPr>
          <w:rFonts w:ascii="Arial" w:hAnsi="Arial" w:cs="Arial"/>
          <w:lang w:val="en-US"/>
        </w:rPr>
        <w:t xml:space="preserve"> and oral presentation. Brief (formatively assessed) oral presentations help students develop their own understanding of the essentials of </w:t>
      </w:r>
      <w:proofErr w:type="gramStart"/>
      <w:r w:rsidRPr="00C341BB">
        <w:rPr>
          <w:rFonts w:ascii="Arial" w:hAnsi="Arial" w:cs="Arial"/>
          <w:lang w:val="en-US"/>
        </w:rPr>
        <w:t>particular texts</w:t>
      </w:r>
      <w:proofErr w:type="gramEnd"/>
      <w:r w:rsidRPr="00C341BB">
        <w:rPr>
          <w:rFonts w:ascii="Arial" w:hAnsi="Arial" w:cs="Arial"/>
          <w:lang w:val="en-US"/>
        </w:rPr>
        <w:t xml:space="preserve"> and topics and help students gain confidence in public speaking and response. As both presenters and </w:t>
      </w:r>
      <w:proofErr w:type="gramStart"/>
      <w:r w:rsidRPr="00C341BB">
        <w:rPr>
          <w:rFonts w:ascii="Arial" w:hAnsi="Arial" w:cs="Arial"/>
          <w:lang w:val="en-US"/>
        </w:rPr>
        <w:t>respondents</w:t>
      </w:r>
      <w:proofErr w:type="gramEnd"/>
      <w:r w:rsidRPr="00C341BB">
        <w:rPr>
          <w:rFonts w:ascii="Arial" w:hAnsi="Arial" w:cs="Arial"/>
          <w:lang w:val="en-US"/>
        </w:rPr>
        <w:t xml:space="preserve"> students engage in peer review and develop critical questioning skills. Individual and group tutorials offer opportunities to discuss essay topics and any issues students may find particularly difficult on the </w:t>
      </w:r>
      <w:proofErr w:type="gramStart"/>
      <w:r w:rsidRPr="00C341BB">
        <w:rPr>
          <w:rFonts w:ascii="Arial" w:hAnsi="Arial" w:cs="Arial"/>
          <w:lang w:val="en-US"/>
        </w:rPr>
        <w:t>modules, and</w:t>
      </w:r>
      <w:proofErr w:type="gramEnd"/>
      <w:r w:rsidRPr="00C341BB">
        <w:rPr>
          <w:rFonts w:ascii="Arial" w:hAnsi="Arial" w:cs="Arial"/>
          <w:lang w:val="en-US"/>
        </w:rPr>
        <w:t xml:space="preserve"> are used to receive detailed feedback on assessed written work. Individual and group tutorials are arranged with module tutors; on core modules and some option modules doctoral Teaching Assistants (CRMEP PhD students) also run tutorials. Students also learn</w:t>
      </w:r>
      <w:r w:rsidRPr="00C341BB">
        <w:rPr>
          <w:rFonts w:ascii="Arial" w:hAnsi="Arial" w:cs="Arial"/>
          <w:u w:val="single"/>
        </w:rPr>
        <w:t xml:space="preserve"> </w:t>
      </w:r>
      <w:r w:rsidRPr="00C341BB">
        <w:rPr>
          <w:rFonts w:ascii="Arial" w:hAnsi="Arial" w:cs="Arial"/>
          <w:lang w:val="en-US"/>
        </w:rPr>
        <w:t>autonomously through independent study of set texts, library research, peer engagement and discussion both inside and outside the class, and through individual writing. Development of academic skills is threaded throughout the whole course.</w:t>
      </w:r>
    </w:p>
    <w:p w14:paraId="6470058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91414C" w14:textId="1887C3A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 xml:space="preserve">The regular extracurricular research events schedule is also partly designed to complement and extend formal teaching and learning on the MA. (See </w:t>
      </w:r>
      <w:hyperlink r:id="rId19" w:history="1">
        <w:r w:rsidR="00402792" w:rsidRPr="00402792">
          <w:rPr>
            <w:rStyle w:val="Hyperlink0"/>
            <w:rFonts w:eastAsia="Arial Unicode MS"/>
            <w:lang w:val="en-US"/>
          </w:rPr>
          <w:t>https://www.kingston.ac.uk/faculties/kingston-school-of-art/research-and-innovation/crmep/</w:t>
        </w:r>
      </w:hyperlink>
      <w:hyperlink r:id="rId20" w:history="1"/>
      <w:r w:rsidRPr="00C341BB">
        <w:rPr>
          <w:rFonts w:ascii="Arial" w:hAnsi="Arial" w:cs="Arial"/>
          <w:lang w:val="en-US"/>
        </w:rPr>
        <w:t xml:space="preserve">) Research seminars, lectures, conferences and workshops include topics relevant to the MA and offer students the opportunity to engage with a wider national and international research community. An annual CRMEP Graduate Conference, </w:t>
      </w:r>
      <w:proofErr w:type="spellStart"/>
      <w:r w:rsidRPr="00C341BB">
        <w:rPr>
          <w:rFonts w:ascii="Arial" w:hAnsi="Arial" w:cs="Arial"/>
          <w:lang w:val="en-US"/>
        </w:rPr>
        <w:t>organised</w:t>
      </w:r>
      <w:proofErr w:type="spellEnd"/>
      <w:r w:rsidRPr="00C341BB">
        <w:rPr>
          <w:rFonts w:ascii="Arial" w:hAnsi="Arial" w:cs="Arial"/>
          <w:lang w:val="en-US"/>
        </w:rPr>
        <w:t xml:space="preserve"> by a team of PhD and MA students, allows students to participate in </w:t>
      </w:r>
      <w:proofErr w:type="spellStart"/>
      <w:r w:rsidRPr="00C341BB">
        <w:rPr>
          <w:rFonts w:ascii="Arial" w:hAnsi="Arial" w:cs="Arial"/>
          <w:lang w:val="en-US"/>
        </w:rPr>
        <w:t>organisational</w:t>
      </w:r>
      <w:proofErr w:type="spellEnd"/>
      <w:r w:rsidRPr="00C341BB">
        <w:rPr>
          <w:rFonts w:ascii="Arial" w:hAnsi="Arial" w:cs="Arial"/>
          <w:lang w:val="en-US"/>
        </w:rPr>
        <w:t xml:space="preserve">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p>
    <w:p w14:paraId="3782C2F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2E7F87EE" w14:textId="5955E1B4"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 xml:space="preserve">Online learning technologies delivered via the Canvas virtual learning environment platform are used throughout the course, to communicate with students, to make learning materials available to students and to foster on-line learning where appropriate. </w:t>
      </w:r>
      <w:r w:rsidRPr="00C341BB">
        <w:rPr>
          <w:rFonts w:ascii="Arial" w:hAnsi="Arial" w:cs="Arial"/>
        </w:rPr>
        <w:t xml:space="preserve">Students are also encouraged to draw on the wide range of video tutorials addressing software, technological and creative topics provided via LinkedIn Learning (via </w:t>
      </w:r>
      <w:hyperlink r:id="rId21" w:tgtFrame="_blank" w:history="1">
        <w:r w:rsidRPr="00402792">
          <w:rPr>
            <w:rStyle w:val="Hyperlink0"/>
            <w:rFonts w:eastAsia="Arial Unicode MS"/>
            <w:lang w:val="en-US"/>
          </w:rPr>
          <w:t>linkedinlearning.kingston.ac.uk)</w:t>
        </w:r>
      </w:hyperlink>
    </w:p>
    <w:p w14:paraId="6D8E8063" w14:textId="77777777"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0EE04862" w14:textId="77777777"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 xml:space="preserve">All Philosophy modules are designed and taught in keeping with the principles outlined in Kingston’s Inclusive Curriculum Framework, and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w:t>
      </w:r>
      <w:r w:rsidRPr="00C341BB">
        <w:rPr>
          <w:rFonts w:ascii="Arial" w:hAnsi="Arial" w:cs="Arial"/>
        </w:rPr>
        <w:lastRenderedPageBreak/>
        <w:t>political engagement that is characteristic of the work and research undertaken in the CRMEP.</w:t>
      </w:r>
    </w:p>
    <w:p w14:paraId="4D45992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211B7A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C341BB">
        <w:rPr>
          <w:rFonts w:ascii="Arial" w:hAnsi="Arial" w:cs="Arial"/>
          <w:lang w:val="en-US"/>
        </w:rPr>
        <w:t>summatively</w:t>
      </w:r>
      <w:proofErr w:type="spellEnd"/>
      <w:r w:rsidRPr="00C341BB">
        <w:rPr>
          <w:rFonts w:ascii="Arial" w:hAnsi="Arial" w:cs="Arial"/>
          <w:lang w:val="en-US"/>
        </w:rPr>
        <w:t xml:space="preserve">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w:t>
      </w:r>
      <w:proofErr w:type="gramStart"/>
      <w:r w:rsidRPr="00C341BB">
        <w:rPr>
          <w:rFonts w:ascii="Arial" w:hAnsi="Arial" w:cs="Arial"/>
          <w:lang w:val="en-US"/>
        </w:rPr>
        <w:t>are</w:t>
      </w:r>
      <w:proofErr w:type="gramEnd"/>
      <w:r w:rsidRPr="00C341BB">
        <w:rPr>
          <w:rFonts w:ascii="Arial" w:hAnsi="Arial" w:cs="Arial"/>
          <w:lang w:val="en-US"/>
        </w:rPr>
        <w:t xml:space="preserve"> discussed also allow staff and teaching assistants to provide formative guidance and advice in preparation for the essay. The longer essay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CBE470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AB779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Formative assessment and peer engagement are also prominent features of the four Research Skills</w:t>
      </w:r>
      <w:r w:rsidRPr="00C341BB">
        <w:rPr>
          <w:rFonts w:ascii="Arial" w:hAnsi="Arial" w:cs="Arial"/>
          <w:u w:val="single"/>
        </w:rPr>
        <w:t xml:space="preserve"> </w:t>
      </w:r>
      <w:r w:rsidRPr="00C341BB">
        <w:rPr>
          <w:rFonts w:ascii="Arial" w:hAnsi="Arial" w:cs="Arial"/>
          <w:lang w:val="en-US"/>
        </w:rPr>
        <w:t xml:space="preserve">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5BAE267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r w:rsidRPr="00C341BB">
        <w:rPr>
          <w:rFonts w:ascii="Arial" w:hAnsi="Arial" w:cs="Arial"/>
        </w:rPr>
        <w:t xml:space="preserve"> </w:t>
      </w:r>
    </w:p>
    <w:p w14:paraId="4306E119"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Support for Students and their Learning</w:t>
      </w:r>
    </w:p>
    <w:p w14:paraId="79F6608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BE33E0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who is normally the tutor teaching the core module or the Philosophy Course Leader. Personal tutorials are arranged with the module leader of the core module in the first teaching block of an academic </w:t>
      </w:r>
      <w:proofErr w:type="gramStart"/>
      <w:r w:rsidRPr="00C341BB">
        <w:rPr>
          <w:rFonts w:ascii="Arial" w:hAnsi="Arial" w:cs="Arial"/>
          <w:lang w:val="en-US"/>
        </w:rPr>
        <w:t>year, and</w:t>
      </w:r>
      <w:proofErr w:type="gramEnd"/>
      <w:r w:rsidRPr="00C341BB">
        <w:rPr>
          <w:rFonts w:ascii="Arial" w:hAnsi="Arial" w:cs="Arial"/>
          <w:lang w:val="en-US"/>
        </w:rPr>
        <w:t xml:space="preserve"> are then </w:t>
      </w:r>
      <w:proofErr w:type="spellStart"/>
      <w:r w:rsidRPr="00C341BB">
        <w:rPr>
          <w:rFonts w:ascii="Arial" w:hAnsi="Arial" w:cs="Arial"/>
          <w:lang w:val="en-US"/>
        </w:rPr>
        <w:t>organised</w:t>
      </w:r>
      <w:proofErr w:type="spellEnd"/>
      <w:r w:rsidRPr="00C341BB">
        <w:rPr>
          <w:rFonts w:ascii="Arial" w:hAnsi="Arial" w:cs="Arial"/>
          <w:lang w:val="en-US"/>
        </w:rPr>
        <w:t xml:space="preserve"> directly with the tutor in subsequent teaching blocks. In addition to help and advice from module tutors the personal tutor tracks tutees’ achievement, makes any appropriate recommendation for further support, and acts as the first contact for academic support and advice of all kinds, with further support and advice provided by the Course Leader. Provision is made for students to change personal tutor if necessary.</w:t>
      </w:r>
    </w:p>
    <w:p w14:paraId="57CFFBA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3F36F87" w14:textId="77777777" w:rsidR="00AD1FB7" w:rsidRPr="00C341BB" w:rsidRDefault="00AD1FB7">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lang w:val="en-US"/>
        </w:rPr>
      </w:pPr>
    </w:p>
    <w:p w14:paraId="60F5C613" w14:textId="388FE93C" w:rsidR="00686698" w:rsidRPr="00C341BB" w:rsidRDefault="00686698">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C341BB">
        <w:rPr>
          <w:rFonts w:ascii="Arial" w:hAnsi="Arial" w:cs="Arial"/>
          <w:lang w:val="en-US"/>
        </w:rPr>
        <w:lastRenderedPageBreak/>
        <w:t>Students are supported by:</w:t>
      </w:r>
    </w:p>
    <w:p w14:paraId="4FBCBEA3" w14:textId="77777777" w:rsidR="00686698" w:rsidRPr="00C341BB" w:rsidRDefault="00686698">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16EA5719"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Module Leader for each module</w:t>
      </w:r>
    </w:p>
    <w:p w14:paraId="371C126E"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Course Leader to help students understand the programme structure</w:t>
      </w:r>
    </w:p>
    <w:p w14:paraId="4AFBD03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Personal Tutors to provide academic and personal support</w:t>
      </w:r>
    </w:p>
    <w:p w14:paraId="396FA80C"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placement tutor to give general advice on placements</w:t>
      </w:r>
    </w:p>
    <w:p w14:paraId="0B8E949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Technical support to advise students on IT and the use of software</w:t>
      </w:r>
    </w:p>
    <w:p w14:paraId="77E6986D"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designated Course Administrator</w:t>
      </w:r>
    </w:p>
    <w:p w14:paraId="6472834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An induction week at the beginning of each new academic session</w:t>
      </w:r>
    </w:p>
    <w:p w14:paraId="1824555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rPr>
        <w:t>Staff Student Consultative Committee</w:t>
      </w:r>
    </w:p>
    <w:p w14:paraId="44EA3302"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sv-SE"/>
        </w:rPr>
        <w:t xml:space="preserve">VLE/Canvas </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 versatile online interactive intranet and learning environment accessible both on and off-site</w:t>
      </w:r>
    </w:p>
    <w:p w14:paraId="67B3B61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LinkedIn Learning </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an online platform offering self-paced software tutorials</w:t>
      </w:r>
    </w:p>
    <w:p w14:paraId="745E169A"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A substantial Study Skills Centre that provides academic skills support for both UG and PG students </w:t>
      </w:r>
    </w:p>
    <w:p w14:paraId="58960842"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Student support facilities that provide advice on issues such as finance, regulations, legal matters, accommodation, international student support etc.</w:t>
      </w:r>
    </w:p>
    <w:p w14:paraId="0EC79EA0"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Student Achievement Officer who provides pastoral support</w:t>
      </w:r>
    </w:p>
    <w:p w14:paraId="1B1D210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Support for students with disabilities  </w:t>
      </w:r>
    </w:p>
    <w:p w14:paraId="47885578"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The Union of Kingston Students</w:t>
      </w:r>
    </w:p>
    <w:p w14:paraId="5443AD3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Careers and Employability Services team, who will provide support for students prior to undertaking work placement(s).</w:t>
      </w:r>
    </w:p>
    <w:p w14:paraId="435901E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AADC79"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Ensuring and Enhancing the Quality of the Course</w:t>
      </w:r>
    </w:p>
    <w:p w14:paraId="5DD8FAD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81B6DE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The University has several methods for evaluating and improving the quality and standards of its provision.  These include:</w:t>
      </w:r>
    </w:p>
    <w:p w14:paraId="7F55384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35CB61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External Examiners</w:t>
      </w:r>
    </w:p>
    <w:p w14:paraId="16C2501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Boards of Study with student representation</w:t>
      </w:r>
    </w:p>
    <w:p w14:paraId="37887ED8"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Annual Monitoring and Enhancement</w:t>
      </w:r>
    </w:p>
    <w:p w14:paraId="0A76E62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Periodic review undertaken at subject level</w:t>
      </w:r>
    </w:p>
    <w:p w14:paraId="0E69580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Student evaluation including MEQs (module evaluation questionnaires) and a postgraduate survey</w:t>
      </w:r>
    </w:p>
    <w:p w14:paraId="7A625B1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rPr>
        <w:t>Moderation policies</w:t>
      </w:r>
    </w:p>
    <w:p w14:paraId="2A4E09D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Feedback from employers</w:t>
      </w:r>
    </w:p>
    <w:p w14:paraId="0EDCD18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5F0002"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Employability Statement </w:t>
      </w:r>
    </w:p>
    <w:p w14:paraId="7F90300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598E8A0D"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C341BB">
        <w:rPr>
          <w:rFonts w:ascii="Arial" w:hAnsi="Arial" w:cs="Arial"/>
          <w:sz w:val="22"/>
          <w:szCs w:val="22"/>
        </w:rPr>
        <w:t>The MA Modern European Philosophy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4C52FFF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731BD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While some MA Modern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3A52229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C05137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rPr>
          <w:rFonts w:ascii="Arial" w:hAnsi="Arial" w:cs="Arial"/>
        </w:rPr>
      </w:pPr>
      <w:r w:rsidRPr="00C341BB">
        <w:rPr>
          <w:rFonts w:ascii="Arial" w:hAnsi="Arial" w:cs="Arial"/>
          <w:lang w:val="en-US"/>
        </w:rPr>
        <w:t xml:space="preserve">The 2-year integrated work placement programme is designed to provide students with enhanced opportunities for securing professional employment at the end of their degree, </w:t>
      </w:r>
      <w:r w:rsidRPr="00C341BB">
        <w:rPr>
          <w:rFonts w:ascii="Arial" w:hAnsi="Arial" w:cs="Arial"/>
          <w:lang w:val="en-US"/>
        </w:rPr>
        <w:lastRenderedPageBreak/>
        <w:t xml:space="preserve">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w:t>
      </w:r>
      <w:proofErr w:type="spellStart"/>
      <w:r w:rsidRPr="00C341BB">
        <w:rPr>
          <w:rFonts w:ascii="Arial" w:hAnsi="Arial" w:cs="Arial"/>
          <w:lang w:val="en-US"/>
        </w:rPr>
        <w:t>centres</w:t>
      </w:r>
      <w:proofErr w:type="spellEnd"/>
      <w:r w:rsidRPr="00C341BB">
        <w:rPr>
          <w:rFonts w:ascii="Arial" w:hAnsi="Arial" w:cs="Arial"/>
          <w:lang w:val="en-US"/>
        </w:rPr>
        <w:t>.</w:t>
      </w:r>
    </w:p>
    <w:p w14:paraId="69C82F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rPr>
          <w:rFonts w:ascii="Arial" w:hAnsi="Arial" w:cs="Arial"/>
        </w:rPr>
      </w:pPr>
    </w:p>
    <w:p w14:paraId="3FE132B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 xml:space="preserve">Achievements of recent alumni of the Programme can be seen at </w:t>
      </w:r>
      <w:hyperlink r:id="rId22" w:history="1">
        <w:r w:rsidRPr="00C341BB">
          <w:rPr>
            <w:rStyle w:val="Hyperlink0"/>
            <w:rFonts w:eastAsia="Arial Unicode MS"/>
            <w:lang w:val="en-US"/>
          </w:rPr>
          <w:t>https://www.kingston.ac.uk/faculties/kingston-school-of-art/research-and-innovation/crmep/recent-alumni/</w:t>
        </w:r>
      </w:hyperlink>
    </w:p>
    <w:p w14:paraId="3D62580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0D74F46"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Approved Variants from the Postgraduate Regulations</w:t>
      </w:r>
    </w:p>
    <w:p w14:paraId="5F08DE4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24476A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r w:rsidRPr="00C341BB">
        <w:rPr>
          <w:rFonts w:ascii="Arial" w:hAnsi="Arial" w:cs="Arial"/>
        </w:rPr>
        <w:t>N/A</w:t>
      </w:r>
    </w:p>
    <w:p w14:paraId="4788CBB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p>
    <w:p w14:paraId="65FB3C36"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Other sources of information that you may wish to consult</w:t>
      </w:r>
    </w:p>
    <w:p w14:paraId="7241C79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9211B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r w:rsidRPr="00C341BB">
        <w:rPr>
          <w:rFonts w:ascii="Arial" w:hAnsi="Arial" w:cs="Arial"/>
          <w:b/>
          <w:bCs/>
          <w:lang w:val="en-US"/>
        </w:rPr>
        <w:t>Course page on the KU website</w:t>
      </w:r>
    </w:p>
    <w:p w14:paraId="5EBE860D" w14:textId="77777777" w:rsidR="00686698" w:rsidRPr="00C341BB" w:rsidRDefault="00821B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hyperlink r:id="rId23" w:history="1">
        <w:r w:rsidR="00686698" w:rsidRPr="00C341BB">
          <w:rPr>
            <w:rStyle w:val="Hyperlink0"/>
            <w:rFonts w:eastAsia="Arial Unicode MS"/>
            <w:lang w:val="en-US"/>
          </w:rPr>
          <w:t>https://www.kingston.ac.uk/postgraduate-course/modern-european-philosophy-ma/</w:t>
        </w:r>
      </w:hyperlink>
      <w:r w:rsidR="00686698" w:rsidRPr="00C341BB">
        <w:rPr>
          <w:rFonts w:ascii="Arial" w:hAnsi="Arial" w:cs="Arial"/>
        </w:rPr>
        <w:t xml:space="preserve"> </w:t>
      </w:r>
    </w:p>
    <w:p w14:paraId="4E298221" w14:textId="74D3F11D"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1D5D196" w14:textId="02D61846"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A6DF26C" w14:textId="79E7DDB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F31D959" w14:textId="466C0EC3"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A7F2A1A" w14:textId="3B7F0A6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13BFCF6B" w14:textId="4084EADA"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63282C3" w14:textId="1ACF5D51"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03BA42D" w14:textId="2B160B3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7B93804" w14:textId="67A6AEA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087BF53" w14:textId="72C38786"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12E1344" w14:textId="5FA5CABA"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765F3628" w14:textId="3DAD9A1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7FE0E7F" w14:textId="787EEE4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889342D" w14:textId="02A3765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53FFD932" w14:textId="193C3B1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6B3CFBA" w14:textId="2B34DB6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5D1C72D" w14:textId="7BD2CB22"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C7C39F" w14:textId="6AA896B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AB7A52" w14:textId="2D807554"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421F3AE" w14:textId="158E1DB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8170EF0" w14:textId="77A4C0A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6800B6F" w14:textId="7943547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70D8EAA" w14:textId="4E26D36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2898A89" w14:textId="31947B5E"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84D9792" w14:textId="43BC8E63"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3AF3758" w14:textId="63EAFA7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8979CB8" w14:textId="7B64117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8FFCFA9" w14:textId="18CE6BE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20F1B4B" w14:textId="5896EEE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158DC68" w14:textId="390C413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62FE1F5" w14:textId="15FC4634"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A1DF656" w14:textId="3A7FF29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598B8C23" w14:textId="598BF46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92BFD84" w14:textId="57A99295"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757D748C"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p>
    <w:p w14:paraId="68F91B26"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p>
    <w:p w14:paraId="1F6951F8" w14:textId="18ACCF0D" w:rsidR="00B2034D" w:rsidRPr="00C341BB" w:rsidRDefault="00B2034D"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9720AE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sectPr w:rsidR="00686698" w:rsidRPr="00C341BB" w:rsidSect="00AD1FB7">
          <w:pgSz w:w="11900" w:h="16840"/>
          <w:pgMar w:top="1440" w:right="1440" w:bottom="1440" w:left="1440" w:header="708" w:footer="708" w:gutter="0"/>
          <w:cols w:space="720"/>
        </w:sectPr>
      </w:pPr>
    </w:p>
    <w:p w14:paraId="345B57EC"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lang w:val="en-US"/>
        </w:rPr>
        <w:lastRenderedPageBreak/>
        <w:t>Development of Programme Learning Outcomes in Modules</w:t>
      </w:r>
    </w:p>
    <w:p w14:paraId="16A96FC0"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ind w:right="827"/>
        <w:rPr>
          <w:rFonts w:ascii="Arial" w:hAnsi="Arial" w:cs="Arial"/>
          <w:sz w:val="20"/>
          <w:szCs w:val="20"/>
        </w:rPr>
      </w:pPr>
      <w:r w:rsidRPr="00C341BB">
        <w:rPr>
          <w:rFonts w:ascii="Arial" w:hAnsi="Arial" w:cs="Arial"/>
          <w:sz w:val="20"/>
          <w:szCs w:val="20"/>
          <w:lang w:val="en-US"/>
        </w:rPr>
        <w:t xml:space="preserve">This map identifies where the field/course learning outcomes are </w:t>
      </w:r>
      <w:proofErr w:type="spellStart"/>
      <w:r w:rsidRPr="00C341BB">
        <w:rPr>
          <w:rFonts w:ascii="Arial" w:hAnsi="Arial" w:cs="Arial"/>
          <w:b/>
          <w:bCs/>
          <w:sz w:val="20"/>
          <w:szCs w:val="20"/>
          <w:lang w:val="en-US"/>
        </w:rPr>
        <w:t>summatively</w:t>
      </w:r>
      <w:proofErr w:type="spellEnd"/>
      <w:r w:rsidRPr="00C341BB">
        <w:rPr>
          <w:rFonts w:ascii="Arial" w:hAnsi="Arial" w:cs="Arial"/>
          <w:sz w:val="20"/>
          <w:szCs w:val="20"/>
          <w:lang w:val="en-US"/>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pPr w:leftFromText="180" w:rightFromText="180" w:vertAnchor="text" w:horzAnchor="margin" w:tblpY="68"/>
        <w:tblW w:w="130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35"/>
        <w:gridCol w:w="1343"/>
        <w:gridCol w:w="567"/>
        <w:gridCol w:w="567"/>
        <w:gridCol w:w="567"/>
        <w:gridCol w:w="567"/>
        <w:gridCol w:w="567"/>
        <w:gridCol w:w="425"/>
        <w:gridCol w:w="567"/>
        <w:gridCol w:w="567"/>
        <w:gridCol w:w="567"/>
        <w:gridCol w:w="567"/>
        <w:gridCol w:w="567"/>
        <w:gridCol w:w="567"/>
        <w:gridCol w:w="567"/>
        <w:gridCol w:w="567"/>
        <w:gridCol w:w="567"/>
        <w:gridCol w:w="567"/>
        <w:gridCol w:w="567"/>
        <w:gridCol w:w="524"/>
        <w:gridCol w:w="445"/>
        <w:gridCol w:w="445"/>
      </w:tblGrid>
      <w:tr w:rsidR="00AD1FB7" w:rsidRPr="00C341BB" w14:paraId="6CE05C3F" w14:textId="77777777" w:rsidTr="00AD1FB7">
        <w:trPr>
          <w:trHeight w:val="234"/>
        </w:trPr>
        <w:tc>
          <w:tcPr>
            <w:tcW w:w="835" w:type="dxa"/>
            <w:tcBorders>
              <w:top w:val="nil"/>
              <w:left w:val="nil"/>
              <w:bottom w:val="nil"/>
              <w:right w:val="nil"/>
            </w:tcBorders>
            <w:tcMar>
              <w:top w:w="80" w:type="dxa"/>
              <w:left w:w="80" w:type="dxa"/>
              <w:bottom w:w="80" w:type="dxa"/>
              <w:right w:w="80" w:type="dxa"/>
            </w:tcMar>
          </w:tcPr>
          <w:p w14:paraId="6A6BC86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tcBorders>
              <w:top w:val="nil"/>
              <w:left w:val="nil"/>
              <w:bottom w:val="single" w:sz="4" w:space="0" w:color="000000"/>
              <w:right w:val="nil"/>
            </w:tcBorders>
            <w:tcMar>
              <w:top w:w="80" w:type="dxa"/>
              <w:left w:w="80" w:type="dxa"/>
              <w:bottom w:w="80" w:type="dxa"/>
              <w:right w:w="80" w:type="dxa"/>
            </w:tcMar>
            <w:vAlign w:val="center"/>
          </w:tcPr>
          <w:p w14:paraId="43F3613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nil"/>
              <w:left w:val="nil"/>
              <w:bottom w:val="single" w:sz="4" w:space="0" w:color="000000"/>
              <w:right w:val="single" w:sz="4" w:space="0" w:color="000000"/>
            </w:tcBorders>
            <w:tcMar>
              <w:top w:w="80" w:type="dxa"/>
              <w:left w:w="80" w:type="dxa"/>
              <w:bottom w:w="80" w:type="dxa"/>
              <w:right w:w="80" w:type="dxa"/>
            </w:tcMar>
          </w:tcPr>
          <w:p w14:paraId="6AE67B3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0344" w:type="dxa"/>
            <w:gridSpan w:val="19"/>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11B1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t>Level 7</w:t>
            </w:r>
          </w:p>
        </w:tc>
      </w:tr>
      <w:tr w:rsidR="00AD1FB7" w:rsidRPr="00C341BB" w14:paraId="6AE813DE" w14:textId="77777777" w:rsidTr="000D3817">
        <w:trPr>
          <w:cantSplit/>
          <w:trHeight w:val="1015"/>
        </w:trPr>
        <w:tc>
          <w:tcPr>
            <w:tcW w:w="835" w:type="dxa"/>
            <w:tcBorders>
              <w:top w:val="nil"/>
              <w:left w:val="nil"/>
              <w:bottom w:val="single" w:sz="4" w:space="0" w:color="000000"/>
              <w:right w:val="single" w:sz="4" w:space="0" w:color="000000"/>
            </w:tcBorders>
          </w:tcPr>
          <w:p w14:paraId="763FC03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6BEDEF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Module Code</w:t>
            </w:r>
          </w:p>
        </w:tc>
        <w:tc>
          <w:tcPr>
            <w:tcW w:w="567" w:type="dxa"/>
            <w:tcBorders>
              <w:top w:val="single" w:sz="4" w:space="0" w:color="000000"/>
              <w:left w:val="single" w:sz="4" w:space="0" w:color="000000"/>
              <w:bottom w:val="single" w:sz="4" w:space="0" w:color="000000"/>
              <w:right w:val="single" w:sz="4" w:space="0" w:color="000000"/>
            </w:tcBorders>
          </w:tcPr>
          <w:p w14:paraId="637C9ED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tcPr>
          <w:p w14:paraId="3EE69AA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PH7001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2FC734B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9DDB135" w14:textId="32286D42" w:rsidR="00AD1FB7" w:rsidRPr="00C341BB" w:rsidRDefault="00AD1FB7"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rFonts w:ascii="Arial" w:hAnsi="Arial" w:cs="Arial"/>
                <w:sz w:val="18"/>
                <w:szCs w:val="18"/>
                <w:lang w:val="en-US"/>
              </w:rPr>
            </w:pPr>
            <w:r w:rsidRPr="00C341BB">
              <w:rPr>
                <w:rFonts w:ascii="Arial" w:hAnsi="Arial" w:cs="Arial"/>
                <w:sz w:val="18"/>
                <w:szCs w:val="18"/>
                <w:lang w:val="en-US"/>
              </w:rPr>
              <w:t>PH7</w:t>
            </w:r>
            <w:r w:rsidR="000817D8">
              <w:rPr>
                <w:rFonts w:ascii="Arial" w:hAnsi="Arial" w:cs="Arial"/>
                <w:sz w:val="18"/>
                <w:szCs w:val="18"/>
                <w:lang w:val="en-US"/>
              </w:rPr>
              <w:t>706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8E41D1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PH7703</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23DB9B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50AE6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E3571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356000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54B65F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8932CF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12FD13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727A4FF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95ADC3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DC040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PH7907</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236A7EF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794F52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PH7903</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388D16C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PH7904</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7AFD30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PH7905</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F40256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HU7100</w:t>
            </w:r>
          </w:p>
        </w:tc>
      </w:tr>
      <w:tr w:rsidR="00AD1FB7" w:rsidRPr="00C341BB" w14:paraId="0DED4244" w14:textId="77777777" w:rsidTr="000D3817">
        <w:trPr>
          <w:trHeight w:val="160"/>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93" w:type="dxa"/>
              <w:right w:w="193" w:type="dxa"/>
            </w:tcMar>
            <w:textDirection w:val="btLr"/>
            <w:vAlign w:val="center"/>
          </w:tcPr>
          <w:p w14:paraId="644F2CF9" w14:textId="77777777" w:rsidR="00AD1FB7" w:rsidRPr="000D3817"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jc w:val="center"/>
              <w:rPr>
                <w:rFonts w:ascii="Arial Bold" w:hAnsi="Arial Bold" w:hint="eastAsia"/>
              </w:rPr>
            </w:pPr>
            <w:r w:rsidRPr="000D3817">
              <w:rPr>
                <w:rFonts w:ascii="Arial Bold" w:hAnsi="Arial Bold" w:cs="Arial"/>
                <w:b/>
                <w:bCs/>
                <w:szCs w:val="20"/>
                <w:lang w:val="en-US"/>
              </w:rPr>
              <w:t>Programme Learning Outcomes</w:t>
            </w: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D3A1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Knowledge &amp; Understanding</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7B29E12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A1</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0AEEDA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21E110B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524A200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0BBA28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957FEA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7FD0F0B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DAF433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7B291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88DC3B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1995AC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633D743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79F501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5D08F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6D2A42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94ED8C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0DFF46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AB1168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6B8ED9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F8073F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45BEF7F8" w14:textId="77777777" w:rsidTr="00AD1FB7">
        <w:trPr>
          <w:trHeight w:val="160"/>
        </w:trPr>
        <w:tc>
          <w:tcPr>
            <w:tcW w:w="835" w:type="dxa"/>
            <w:vMerge/>
          </w:tcPr>
          <w:p w14:paraId="6213F06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31F9DCF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E786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EA3C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DA2E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FEFD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1804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2BD7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C703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A38A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C923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16A1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042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BC8B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02D6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AE49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F7D3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2BDE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3A5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3DE3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0D02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F334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31E5B596" w14:textId="77777777" w:rsidTr="00AD1FB7">
        <w:trPr>
          <w:trHeight w:val="206"/>
        </w:trPr>
        <w:tc>
          <w:tcPr>
            <w:tcW w:w="835" w:type="dxa"/>
            <w:vMerge/>
          </w:tcPr>
          <w:p w14:paraId="4A3BC26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719CE28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BF08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617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6EBA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BABD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CB4E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481D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60E5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0F56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3231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5525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5980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6CB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CFD0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499B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8E29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9C7C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13A5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6EAE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F541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A204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33B2B238" w14:textId="77777777" w:rsidTr="00AD1FB7">
        <w:trPr>
          <w:trHeight w:val="160"/>
        </w:trPr>
        <w:tc>
          <w:tcPr>
            <w:tcW w:w="835" w:type="dxa"/>
            <w:vMerge/>
          </w:tcPr>
          <w:p w14:paraId="54741B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549253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524D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41E7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2399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9093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339E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1323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0C23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72B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887B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CA4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4DF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58F7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DBB1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F730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C3E7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619A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3DAA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7826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32F9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5A33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28A8CC2" w14:textId="77777777" w:rsidTr="00AD1FB7">
        <w:trPr>
          <w:trHeight w:val="160"/>
        </w:trPr>
        <w:tc>
          <w:tcPr>
            <w:tcW w:w="835" w:type="dxa"/>
            <w:vMerge/>
          </w:tcPr>
          <w:p w14:paraId="696BEE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2DA2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Intellectual Skills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777D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C2D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FA23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E44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FC1B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6F55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E505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BDAE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A124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C34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015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C274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A8BD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32C1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F53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9440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46F6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2A39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B14F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07FF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F899B8B" w14:textId="77777777" w:rsidTr="00AD1FB7">
        <w:trPr>
          <w:trHeight w:val="160"/>
        </w:trPr>
        <w:tc>
          <w:tcPr>
            <w:tcW w:w="835" w:type="dxa"/>
            <w:vMerge/>
          </w:tcPr>
          <w:p w14:paraId="4846E0E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622E72C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52D7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E999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6B10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374A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FDDB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9E9F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231F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41DF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E2D8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6434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FD87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FB61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8F23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1C0E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19D2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7C9F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B39C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3901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B4FD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2DF9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23AF2E66" w14:textId="77777777" w:rsidTr="00AD1FB7">
        <w:trPr>
          <w:trHeight w:val="160"/>
        </w:trPr>
        <w:tc>
          <w:tcPr>
            <w:tcW w:w="835" w:type="dxa"/>
            <w:vMerge/>
          </w:tcPr>
          <w:p w14:paraId="5D211A1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59F36C5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A94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E160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019C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AD91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623D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AA2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EC68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387C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DC45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2745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6A1B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707C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33C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B825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3759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391C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C4A4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B18A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CBC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D811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4432A9D7" w14:textId="77777777" w:rsidTr="00AD1FB7">
        <w:trPr>
          <w:trHeight w:val="160"/>
        </w:trPr>
        <w:tc>
          <w:tcPr>
            <w:tcW w:w="835" w:type="dxa"/>
            <w:vMerge/>
          </w:tcPr>
          <w:p w14:paraId="1293B20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4720BDF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53C6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BC6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7E42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8489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4B67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8103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4431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F7DB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58DB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C24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D0AD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5D88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FDD7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05A8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DB24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D215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4CE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E86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140B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D2CF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AF7B3B9" w14:textId="77777777" w:rsidTr="00AD1FB7">
        <w:trPr>
          <w:trHeight w:val="180"/>
        </w:trPr>
        <w:tc>
          <w:tcPr>
            <w:tcW w:w="835" w:type="dxa"/>
            <w:vMerge/>
          </w:tcPr>
          <w:p w14:paraId="66AA7A1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AAE2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Practical Skills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7FA4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9C6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E1DC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8C53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1AC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965E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7C65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07C2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8A75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851A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245F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3190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4FF6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62F8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9976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2D41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03A1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28C2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7AC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75F8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6BFC9871" w14:textId="77777777" w:rsidTr="00AD1FB7">
        <w:trPr>
          <w:trHeight w:val="180"/>
        </w:trPr>
        <w:tc>
          <w:tcPr>
            <w:tcW w:w="835" w:type="dxa"/>
            <w:vMerge/>
          </w:tcPr>
          <w:p w14:paraId="0BB6B49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7B3A225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3A97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8EF8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9075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ACCC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DB4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5CE5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95E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1D97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0EC7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BA41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1BAB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44A6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7486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1825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2253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B62A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3DA0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F73E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EB52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81DD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159EE98B" w14:textId="77777777" w:rsidTr="00AD1FB7">
        <w:trPr>
          <w:trHeight w:val="180"/>
        </w:trPr>
        <w:tc>
          <w:tcPr>
            <w:tcW w:w="835" w:type="dxa"/>
            <w:vMerge/>
          </w:tcPr>
          <w:p w14:paraId="547105C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EF6D41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376C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0BD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873D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0350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E288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6841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70CA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E0EE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EADD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F65C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11D6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1A72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72A0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3859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7C24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5C76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FCCE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497E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3640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18A2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22C7377B" w14:textId="77777777" w:rsidTr="00AD1FB7">
        <w:trPr>
          <w:trHeight w:val="160"/>
        </w:trPr>
        <w:tc>
          <w:tcPr>
            <w:tcW w:w="835" w:type="dxa"/>
            <w:vMerge/>
          </w:tcPr>
          <w:p w14:paraId="0C72436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168F977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25EB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7511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EC04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4988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D2A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08CB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2F47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9449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E42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33B1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F73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B002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A3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FE73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52D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7F3C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F6CB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A590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7CB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7F8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075889A5" w14:textId="77777777" w:rsidTr="00AD1FB7">
        <w:trPr>
          <w:trHeight w:val="160"/>
        </w:trPr>
        <w:tc>
          <w:tcPr>
            <w:tcW w:w="835" w:type="dxa"/>
            <w:vMerge/>
          </w:tcPr>
          <w:p w14:paraId="4FA825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0ACD17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CCD2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6FB8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B5AE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AB1E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8080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7F41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B800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B616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5D7C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4FD0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C1E2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CCC5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875E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01D9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D3C9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A794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B350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EACD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925F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1821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r>
    </w:tbl>
    <w:p w14:paraId="6D0B803C" w14:textId="3315E28D"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9A10493" w14:textId="613974E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447E67D" w14:textId="0562384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416DB95" w14:textId="1BF2B56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925F4D4" w14:textId="502E3CA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8D907F8" w14:textId="591364E6"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5812A10C" w14:textId="5DB92CDD"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3FAFC85" w14:textId="6EB632C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5EC82DC0" w14:textId="4090170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2CF9605" w14:textId="20BB260B"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6AF40F3" w14:textId="4C5B72A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B4A82B3" w14:textId="24850DE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F7340F2" w14:textId="238F383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86C6794" w14:textId="01CE6B31"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6F2E2C8" w14:textId="0EF3046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BFCA38F" w14:textId="461B6B02"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4E4FF33" w14:textId="001F085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18FD004" w14:textId="452BFE3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3C3BD19" w14:textId="473A485D"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1F70149" w14:textId="1BF91DC5"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3EF7D6A6" w14:textId="44F26E1A"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376C672" w14:textId="1EA7C594"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5538127" w14:textId="0F8E8C76"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AAF55CB" w14:textId="637B3F29"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A32EFC0" w14:textId="5F2442C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D22EF0A" w14:textId="10391A31"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9AE8F2E" w14:textId="38B7DF8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1083091" w14:textId="323BE652"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19D1AB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tabs>
          <w:tab w:val="left" w:pos="426"/>
        </w:tabs>
        <w:ind w:left="426" w:right="543"/>
        <w:rPr>
          <w:rFonts w:ascii="Arial" w:hAnsi="Arial" w:cs="Arial"/>
          <w:b/>
          <w:bCs/>
          <w:sz w:val="20"/>
          <w:szCs w:val="20"/>
        </w:rPr>
      </w:pPr>
      <w:r w:rsidRPr="00C341BB">
        <w:rPr>
          <w:rFonts w:ascii="Arial" w:hAnsi="Arial" w:cs="Arial"/>
          <w:b/>
          <w:bCs/>
          <w:sz w:val="20"/>
          <w:szCs w:val="20"/>
          <w:lang w:val="en-US"/>
        </w:rPr>
        <w:t xml:space="preserve">Students will be provided with formative assessment opportunities throughout the course to </w:t>
      </w:r>
      <w:proofErr w:type="spellStart"/>
      <w:r w:rsidRPr="00C341BB">
        <w:rPr>
          <w:rFonts w:ascii="Arial" w:hAnsi="Arial" w:cs="Arial"/>
          <w:b/>
          <w:bCs/>
          <w:sz w:val="20"/>
          <w:szCs w:val="20"/>
          <w:lang w:val="en-US"/>
        </w:rPr>
        <w:t>practise</w:t>
      </w:r>
      <w:proofErr w:type="spellEnd"/>
      <w:r w:rsidRPr="00C341BB">
        <w:rPr>
          <w:rFonts w:ascii="Arial" w:hAnsi="Arial" w:cs="Arial"/>
          <w:b/>
          <w:bCs/>
          <w:sz w:val="20"/>
          <w:szCs w:val="20"/>
          <w:lang w:val="en-US"/>
        </w:rPr>
        <w:t xml:space="preserve"> and develop their proficiency in the range of assessment methods </w:t>
      </w:r>
      <w:proofErr w:type="spellStart"/>
      <w:r w:rsidRPr="00C341BB">
        <w:rPr>
          <w:rFonts w:ascii="Arial" w:hAnsi="Arial" w:cs="Arial"/>
          <w:b/>
          <w:bCs/>
          <w:sz w:val="20"/>
          <w:szCs w:val="20"/>
          <w:lang w:val="en-US"/>
        </w:rPr>
        <w:t>utilised</w:t>
      </w:r>
      <w:proofErr w:type="spellEnd"/>
      <w:r w:rsidRPr="00C341BB">
        <w:rPr>
          <w:rFonts w:ascii="Arial" w:hAnsi="Arial" w:cs="Arial"/>
          <w:b/>
          <w:bCs/>
          <w:sz w:val="20"/>
          <w:szCs w:val="20"/>
          <w:lang w:val="en-US"/>
        </w:rPr>
        <w:t xml:space="preserve">.  </w:t>
      </w:r>
    </w:p>
    <w:p w14:paraId="0F6DEF3B" w14:textId="31287C6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sectPr w:rsidR="00AD1FB7" w:rsidRPr="00C341BB" w:rsidSect="00AD1FB7">
          <w:pgSz w:w="16840" w:h="11900" w:orient="landscape"/>
          <w:pgMar w:top="1440" w:right="1440" w:bottom="1440" w:left="1440" w:header="709" w:footer="709" w:gutter="0"/>
          <w:cols w:space="720"/>
        </w:sectPr>
      </w:pPr>
    </w:p>
    <w:p w14:paraId="077F692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DF1B1EB" w14:textId="6AA537F6" w:rsidR="00686698" w:rsidRPr="00C341BB" w:rsidRDefault="00686698"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firstLine="142"/>
        <w:rPr>
          <w:rFonts w:ascii="Arial" w:hAnsi="Arial" w:cs="Arial"/>
          <w:b/>
          <w:bCs/>
        </w:rPr>
      </w:pPr>
      <w:r w:rsidRPr="00C341BB">
        <w:rPr>
          <w:rFonts w:ascii="Arial" w:hAnsi="Arial" w:cs="Arial"/>
          <w:b/>
          <w:bCs/>
          <w:lang w:val="en-US"/>
        </w:rPr>
        <w:t>Technical Annex</w:t>
      </w:r>
    </w:p>
    <w:p w14:paraId="7C43596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tbl>
      <w:tblPr>
        <w:tblW w:w="90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47"/>
        <w:gridCol w:w="5172"/>
      </w:tblGrid>
      <w:tr w:rsidR="00686698" w:rsidRPr="00C341BB" w14:paraId="408BF56B" w14:textId="77777777">
        <w:trPr>
          <w:trHeight w:val="180"/>
        </w:trPr>
        <w:tc>
          <w:tcPr>
            <w:tcW w:w="3847" w:type="dxa"/>
            <w:tcBorders>
              <w:top w:val="nil"/>
              <w:left w:val="nil"/>
              <w:bottom w:val="nil"/>
              <w:right w:val="nil"/>
            </w:tcBorders>
            <w:tcMar>
              <w:top w:w="80" w:type="dxa"/>
              <w:left w:w="80" w:type="dxa"/>
              <w:bottom w:w="80" w:type="dxa"/>
              <w:right w:w="80" w:type="dxa"/>
            </w:tcMar>
          </w:tcPr>
          <w:p w14:paraId="3ECA17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Final Award(s):</w:t>
            </w:r>
          </w:p>
        </w:tc>
        <w:tc>
          <w:tcPr>
            <w:tcW w:w="5172" w:type="dxa"/>
            <w:tcBorders>
              <w:top w:val="nil"/>
              <w:left w:val="nil"/>
              <w:bottom w:val="nil"/>
              <w:right w:val="nil"/>
            </w:tcBorders>
            <w:tcMar>
              <w:top w:w="80" w:type="dxa"/>
              <w:left w:w="80" w:type="dxa"/>
              <w:bottom w:w="80" w:type="dxa"/>
              <w:right w:w="80" w:type="dxa"/>
            </w:tcMar>
          </w:tcPr>
          <w:p w14:paraId="69F6EA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MA Modern European Philosophy</w:t>
            </w:r>
          </w:p>
        </w:tc>
      </w:tr>
      <w:tr w:rsidR="00686698" w:rsidRPr="00C341BB" w14:paraId="4D12C05F" w14:textId="77777777">
        <w:trPr>
          <w:trHeight w:val="180"/>
        </w:trPr>
        <w:tc>
          <w:tcPr>
            <w:tcW w:w="3847" w:type="dxa"/>
            <w:tcBorders>
              <w:top w:val="nil"/>
              <w:left w:val="nil"/>
              <w:bottom w:val="nil"/>
              <w:right w:val="nil"/>
            </w:tcBorders>
            <w:tcMar>
              <w:top w:w="80" w:type="dxa"/>
              <w:left w:w="80" w:type="dxa"/>
              <w:bottom w:w="80" w:type="dxa"/>
              <w:right w:w="80" w:type="dxa"/>
            </w:tcMar>
          </w:tcPr>
          <w:p w14:paraId="5452EE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Intermediate Award(s):</w:t>
            </w:r>
          </w:p>
        </w:tc>
        <w:tc>
          <w:tcPr>
            <w:tcW w:w="5172" w:type="dxa"/>
            <w:tcBorders>
              <w:top w:val="nil"/>
              <w:left w:val="nil"/>
              <w:bottom w:val="nil"/>
              <w:right w:val="nil"/>
            </w:tcBorders>
            <w:tcMar>
              <w:top w:w="80" w:type="dxa"/>
              <w:left w:w="80" w:type="dxa"/>
              <w:bottom w:w="80" w:type="dxa"/>
              <w:right w:w="80" w:type="dxa"/>
            </w:tcMar>
          </w:tcPr>
          <w:p w14:paraId="0CA5BB6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Postgraduate Diploma in Modern European Philosophy, Postgraduate Certificate in Modern European Philosophy</w:t>
            </w:r>
          </w:p>
        </w:tc>
      </w:tr>
      <w:tr w:rsidR="00686698" w:rsidRPr="00C341BB" w14:paraId="34F1A077" w14:textId="77777777">
        <w:trPr>
          <w:trHeight w:val="180"/>
        </w:trPr>
        <w:tc>
          <w:tcPr>
            <w:tcW w:w="3847" w:type="dxa"/>
            <w:tcBorders>
              <w:top w:val="nil"/>
              <w:left w:val="nil"/>
              <w:bottom w:val="nil"/>
              <w:right w:val="nil"/>
            </w:tcBorders>
            <w:tcMar>
              <w:top w:w="80" w:type="dxa"/>
              <w:left w:w="80" w:type="dxa"/>
              <w:bottom w:w="80" w:type="dxa"/>
              <w:right w:w="80" w:type="dxa"/>
            </w:tcMar>
          </w:tcPr>
          <w:p w14:paraId="636ADC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Minimum period of registration:</w:t>
            </w:r>
          </w:p>
        </w:tc>
        <w:tc>
          <w:tcPr>
            <w:tcW w:w="5172" w:type="dxa"/>
            <w:tcBorders>
              <w:top w:val="nil"/>
              <w:left w:val="nil"/>
              <w:bottom w:val="nil"/>
              <w:right w:val="nil"/>
            </w:tcBorders>
            <w:tcMar>
              <w:top w:w="80" w:type="dxa"/>
              <w:left w:w="80" w:type="dxa"/>
              <w:bottom w:w="80" w:type="dxa"/>
              <w:right w:w="80" w:type="dxa"/>
            </w:tcMar>
          </w:tcPr>
          <w:p w14:paraId="159CA1A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1 year full-time, 2 years full-time (with Professional Placement); 2 years part-time</w:t>
            </w:r>
          </w:p>
        </w:tc>
      </w:tr>
      <w:tr w:rsidR="00686698" w:rsidRPr="00C341BB" w14:paraId="61022F8F" w14:textId="77777777">
        <w:trPr>
          <w:trHeight w:val="180"/>
        </w:trPr>
        <w:tc>
          <w:tcPr>
            <w:tcW w:w="3847" w:type="dxa"/>
            <w:tcBorders>
              <w:top w:val="nil"/>
              <w:left w:val="nil"/>
              <w:bottom w:val="nil"/>
              <w:right w:val="nil"/>
            </w:tcBorders>
            <w:tcMar>
              <w:top w:w="80" w:type="dxa"/>
              <w:left w:w="80" w:type="dxa"/>
              <w:bottom w:w="80" w:type="dxa"/>
              <w:right w:w="80" w:type="dxa"/>
            </w:tcMar>
          </w:tcPr>
          <w:p w14:paraId="34A5BC3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Maximum period of registration:</w:t>
            </w:r>
          </w:p>
        </w:tc>
        <w:tc>
          <w:tcPr>
            <w:tcW w:w="5172" w:type="dxa"/>
            <w:tcBorders>
              <w:top w:val="nil"/>
              <w:left w:val="nil"/>
              <w:bottom w:val="nil"/>
              <w:right w:val="nil"/>
            </w:tcBorders>
            <w:tcMar>
              <w:top w:w="80" w:type="dxa"/>
              <w:left w:w="80" w:type="dxa"/>
              <w:bottom w:w="80" w:type="dxa"/>
              <w:right w:w="80" w:type="dxa"/>
            </w:tcMar>
          </w:tcPr>
          <w:p w14:paraId="553157C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2 years full-time, 3 years full-time (with Professional Placement); 4 years part-time</w:t>
            </w:r>
          </w:p>
        </w:tc>
      </w:tr>
      <w:tr w:rsidR="00686698" w:rsidRPr="00C341BB" w14:paraId="6A80043E" w14:textId="77777777">
        <w:trPr>
          <w:trHeight w:val="180"/>
        </w:trPr>
        <w:tc>
          <w:tcPr>
            <w:tcW w:w="3847" w:type="dxa"/>
            <w:tcBorders>
              <w:top w:val="nil"/>
              <w:left w:val="nil"/>
              <w:bottom w:val="nil"/>
              <w:right w:val="nil"/>
            </w:tcBorders>
            <w:tcMar>
              <w:top w:w="80" w:type="dxa"/>
              <w:left w:w="80" w:type="dxa"/>
              <w:bottom w:w="80" w:type="dxa"/>
              <w:right w:w="80" w:type="dxa"/>
            </w:tcMar>
          </w:tcPr>
          <w:p w14:paraId="2BE763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FHEQ Level for the Final Award:</w:t>
            </w:r>
          </w:p>
        </w:tc>
        <w:tc>
          <w:tcPr>
            <w:tcW w:w="5172" w:type="dxa"/>
            <w:tcBorders>
              <w:top w:val="nil"/>
              <w:left w:val="nil"/>
              <w:bottom w:val="nil"/>
              <w:right w:val="nil"/>
            </w:tcBorders>
            <w:tcMar>
              <w:top w:w="80" w:type="dxa"/>
              <w:left w:w="80" w:type="dxa"/>
              <w:bottom w:w="80" w:type="dxa"/>
              <w:right w:w="80" w:type="dxa"/>
            </w:tcMar>
          </w:tcPr>
          <w:p w14:paraId="66EE99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pPr>
            <w:r w:rsidRPr="00C341BB">
              <w:rPr>
                <w:rFonts w:ascii="Arial" w:hAnsi="Arial" w:cs="Arial"/>
                <w:lang w:val="en-US"/>
              </w:rPr>
              <w:t>Masters</w:t>
            </w:r>
          </w:p>
        </w:tc>
      </w:tr>
      <w:tr w:rsidR="00686698" w:rsidRPr="00C341BB" w14:paraId="20D8F9B2" w14:textId="77777777">
        <w:trPr>
          <w:trHeight w:val="180"/>
        </w:trPr>
        <w:tc>
          <w:tcPr>
            <w:tcW w:w="3847" w:type="dxa"/>
            <w:tcBorders>
              <w:top w:val="nil"/>
              <w:left w:val="nil"/>
              <w:bottom w:val="nil"/>
              <w:right w:val="nil"/>
            </w:tcBorders>
            <w:tcMar>
              <w:top w:w="80" w:type="dxa"/>
              <w:left w:w="80" w:type="dxa"/>
              <w:bottom w:w="80" w:type="dxa"/>
              <w:right w:w="80" w:type="dxa"/>
            </w:tcMar>
          </w:tcPr>
          <w:p w14:paraId="4C2FBA1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QAA Subject Benchmark:</w:t>
            </w:r>
          </w:p>
        </w:tc>
        <w:tc>
          <w:tcPr>
            <w:tcW w:w="5172" w:type="dxa"/>
            <w:tcBorders>
              <w:top w:val="nil"/>
              <w:left w:val="nil"/>
              <w:bottom w:val="nil"/>
              <w:right w:val="nil"/>
            </w:tcBorders>
            <w:tcMar>
              <w:top w:w="80" w:type="dxa"/>
              <w:left w:w="80" w:type="dxa"/>
              <w:bottom w:w="80" w:type="dxa"/>
              <w:right w:w="80" w:type="dxa"/>
            </w:tcMar>
          </w:tcPr>
          <w:p w14:paraId="5E027F4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There is currently no benchmarking statement specific to Philosophy at postgraduate level.</w:t>
            </w:r>
          </w:p>
        </w:tc>
      </w:tr>
      <w:tr w:rsidR="00686698" w:rsidRPr="00C341BB" w14:paraId="4947EB00" w14:textId="77777777">
        <w:trPr>
          <w:trHeight w:val="180"/>
        </w:trPr>
        <w:tc>
          <w:tcPr>
            <w:tcW w:w="3847" w:type="dxa"/>
            <w:tcBorders>
              <w:top w:val="nil"/>
              <w:left w:val="nil"/>
              <w:bottom w:val="nil"/>
              <w:right w:val="nil"/>
            </w:tcBorders>
            <w:tcMar>
              <w:top w:w="80" w:type="dxa"/>
              <w:left w:w="80" w:type="dxa"/>
              <w:bottom w:w="80" w:type="dxa"/>
              <w:right w:w="80" w:type="dxa"/>
            </w:tcMar>
          </w:tcPr>
          <w:p w14:paraId="3EEFD8A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Modes of Delivery:</w:t>
            </w:r>
          </w:p>
        </w:tc>
        <w:tc>
          <w:tcPr>
            <w:tcW w:w="5172" w:type="dxa"/>
            <w:tcBorders>
              <w:top w:val="nil"/>
              <w:left w:val="nil"/>
              <w:bottom w:val="nil"/>
              <w:right w:val="nil"/>
            </w:tcBorders>
            <w:tcMar>
              <w:top w:w="80" w:type="dxa"/>
              <w:left w:w="80" w:type="dxa"/>
              <w:bottom w:w="80" w:type="dxa"/>
              <w:right w:w="80" w:type="dxa"/>
            </w:tcMar>
          </w:tcPr>
          <w:p w14:paraId="1257B1A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Full-time, Part-time and ‘with Professional Placement’</w:t>
            </w:r>
          </w:p>
        </w:tc>
      </w:tr>
      <w:tr w:rsidR="00686698" w:rsidRPr="00C341BB" w14:paraId="0F28FFF0" w14:textId="77777777">
        <w:trPr>
          <w:trHeight w:val="180"/>
        </w:trPr>
        <w:tc>
          <w:tcPr>
            <w:tcW w:w="3847" w:type="dxa"/>
            <w:tcBorders>
              <w:top w:val="nil"/>
              <w:left w:val="nil"/>
              <w:bottom w:val="nil"/>
              <w:right w:val="nil"/>
            </w:tcBorders>
            <w:tcMar>
              <w:top w:w="80" w:type="dxa"/>
              <w:left w:w="80" w:type="dxa"/>
              <w:bottom w:w="80" w:type="dxa"/>
              <w:right w:w="80" w:type="dxa"/>
            </w:tcMar>
          </w:tcPr>
          <w:p w14:paraId="670F3ED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Language of Delivery:</w:t>
            </w:r>
          </w:p>
        </w:tc>
        <w:tc>
          <w:tcPr>
            <w:tcW w:w="5172" w:type="dxa"/>
            <w:tcBorders>
              <w:top w:val="nil"/>
              <w:left w:val="nil"/>
              <w:bottom w:val="nil"/>
              <w:right w:val="nil"/>
            </w:tcBorders>
            <w:tcMar>
              <w:top w:w="80" w:type="dxa"/>
              <w:left w:w="80" w:type="dxa"/>
              <w:bottom w:w="80" w:type="dxa"/>
              <w:right w:w="80" w:type="dxa"/>
            </w:tcMar>
          </w:tcPr>
          <w:p w14:paraId="4EEA576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English</w:t>
            </w:r>
          </w:p>
        </w:tc>
      </w:tr>
      <w:tr w:rsidR="00686698" w:rsidRPr="00C341BB" w14:paraId="4D486090" w14:textId="77777777">
        <w:trPr>
          <w:trHeight w:val="180"/>
        </w:trPr>
        <w:tc>
          <w:tcPr>
            <w:tcW w:w="3847" w:type="dxa"/>
            <w:tcBorders>
              <w:top w:val="nil"/>
              <w:left w:val="nil"/>
              <w:bottom w:val="nil"/>
              <w:right w:val="nil"/>
            </w:tcBorders>
            <w:tcMar>
              <w:top w:w="80" w:type="dxa"/>
              <w:left w:w="80" w:type="dxa"/>
              <w:bottom w:w="80" w:type="dxa"/>
              <w:right w:w="80" w:type="dxa"/>
            </w:tcMar>
          </w:tcPr>
          <w:p w14:paraId="32EF600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Faculty:</w:t>
            </w:r>
          </w:p>
        </w:tc>
        <w:tc>
          <w:tcPr>
            <w:tcW w:w="5172" w:type="dxa"/>
            <w:tcBorders>
              <w:top w:val="nil"/>
              <w:left w:val="nil"/>
              <w:bottom w:val="nil"/>
              <w:right w:val="nil"/>
            </w:tcBorders>
            <w:tcMar>
              <w:top w:w="80" w:type="dxa"/>
              <w:left w:w="80" w:type="dxa"/>
              <w:bottom w:w="80" w:type="dxa"/>
              <w:right w:w="80" w:type="dxa"/>
            </w:tcMar>
          </w:tcPr>
          <w:p w14:paraId="244384B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Kingston School of Arts</w:t>
            </w:r>
          </w:p>
        </w:tc>
      </w:tr>
      <w:tr w:rsidR="00686698" w:rsidRPr="00C341BB" w14:paraId="7F59BB76" w14:textId="77777777">
        <w:trPr>
          <w:trHeight w:val="180"/>
        </w:trPr>
        <w:tc>
          <w:tcPr>
            <w:tcW w:w="3847" w:type="dxa"/>
            <w:tcBorders>
              <w:top w:val="nil"/>
              <w:left w:val="nil"/>
              <w:bottom w:val="nil"/>
              <w:right w:val="nil"/>
            </w:tcBorders>
            <w:tcMar>
              <w:top w:w="80" w:type="dxa"/>
              <w:left w:w="80" w:type="dxa"/>
              <w:bottom w:w="80" w:type="dxa"/>
              <w:right w:w="80" w:type="dxa"/>
            </w:tcMar>
          </w:tcPr>
          <w:p w14:paraId="6CAD519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School:</w:t>
            </w:r>
          </w:p>
        </w:tc>
        <w:tc>
          <w:tcPr>
            <w:tcW w:w="5172" w:type="dxa"/>
            <w:tcBorders>
              <w:top w:val="nil"/>
              <w:left w:val="nil"/>
              <w:bottom w:val="nil"/>
              <w:right w:val="nil"/>
            </w:tcBorders>
            <w:tcMar>
              <w:top w:w="80" w:type="dxa"/>
              <w:left w:w="80" w:type="dxa"/>
              <w:bottom w:w="80" w:type="dxa"/>
              <w:right w:w="80" w:type="dxa"/>
            </w:tcMar>
          </w:tcPr>
          <w:p w14:paraId="502039E4" w14:textId="64A22788" w:rsidR="00686698" w:rsidRPr="00C341BB" w:rsidRDefault="00821B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Pr>
                <w:rFonts w:ascii="Arial" w:hAnsi="Arial" w:cs="Arial"/>
              </w:rPr>
              <w:t>Creative and Cultural Industries</w:t>
            </w:r>
          </w:p>
        </w:tc>
      </w:tr>
      <w:tr w:rsidR="00686698" w:rsidRPr="00C341BB" w14:paraId="4719B88C" w14:textId="77777777">
        <w:trPr>
          <w:trHeight w:val="180"/>
        </w:trPr>
        <w:tc>
          <w:tcPr>
            <w:tcW w:w="3847" w:type="dxa"/>
            <w:tcBorders>
              <w:top w:val="nil"/>
              <w:left w:val="nil"/>
              <w:bottom w:val="nil"/>
              <w:right w:val="nil"/>
            </w:tcBorders>
            <w:tcMar>
              <w:top w:w="80" w:type="dxa"/>
              <w:left w:w="80" w:type="dxa"/>
              <w:bottom w:w="80" w:type="dxa"/>
              <w:right w:w="80" w:type="dxa"/>
            </w:tcMar>
          </w:tcPr>
          <w:p w14:paraId="3079A3B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Department:</w:t>
            </w:r>
          </w:p>
        </w:tc>
        <w:tc>
          <w:tcPr>
            <w:tcW w:w="5172" w:type="dxa"/>
            <w:tcBorders>
              <w:top w:val="nil"/>
              <w:left w:val="nil"/>
              <w:bottom w:val="nil"/>
              <w:right w:val="nil"/>
            </w:tcBorders>
            <w:tcMar>
              <w:top w:w="80" w:type="dxa"/>
              <w:left w:w="80" w:type="dxa"/>
              <w:bottom w:w="80" w:type="dxa"/>
              <w:right w:w="80" w:type="dxa"/>
            </w:tcMar>
          </w:tcPr>
          <w:p w14:paraId="458980A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Humanities</w:t>
            </w:r>
          </w:p>
        </w:tc>
      </w:tr>
      <w:tr w:rsidR="00686698" w14:paraId="3A72DC6D" w14:textId="77777777">
        <w:trPr>
          <w:trHeight w:val="135"/>
        </w:trPr>
        <w:tc>
          <w:tcPr>
            <w:tcW w:w="3847" w:type="dxa"/>
            <w:tcBorders>
              <w:top w:val="nil"/>
              <w:left w:val="nil"/>
              <w:bottom w:val="nil"/>
              <w:right w:val="nil"/>
            </w:tcBorders>
            <w:tcMar>
              <w:top w:w="80" w:type="dxa"/>
              <w:left w:w="80" w:type="dxa"/>
              <w:bottom w:w="80" w:type="dxa"/>
              <w:right w:w="80" w:type="dxa"/>
            </w:tcMar>
          </w:tcPr>
          <w:p w14:paraId="40C9B4F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Course/Route Code:</w:t>
            </w:r>
          </w:p>
        </w:tc>
        <w:tc>
          <w:tcPr>
            <w:tcW w:w="5172" w:type="dxa"/>
            <w:tcBorders>
              <w:top w:val="nil"/>
              <w:left w:val="nil"/>
              <w:bottom w:val="nil"/>
              <w:right w:val="nil"/>
            </w:tcBorders>
            <w:tcMar>
              <w:top w:w="80" w:type="dxa"/>
              <w:left w:w="80" w:type="dxa"/>
              <w:bottom w:w="80" w:type="dxa"/>
              <w:right w:w="80" w:type="dxa"/>
            </w:tcMar>
          </w:tcPr>
          <w:p w14:paraId="152F527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PFMPH1MPH02</w:t>
            </w:r>
          </w:p>
          <w:p w14:paraId="537BCC6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PFMPH1MPH99</w:t>
            </w:r>
          </w:p>
          <w:p w14:paraId="4F5CE966" w14:textId="77777777" w:rsidR="00686698"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PPMPH1MPH02</w:t>
            </w:r>
          </w:p>
        </w:tc>
      </w:tr>
      <w:tr w:rsidR="00686698" w14:paraId="2C02E2A2" w14:textId="77777777">
        <w:trPr>
          <w:trHeight w:val="180"/>
        </w:trPr>
        <w:tc>
          <w:tcPr>
            <w:tcW w:w="3847" w:type="dxa"/>
            <w:tcBorders>
              <w:top w:val="nil"/>
              <w:left w:val="nil"/>
              <w:bottom w:val="nil"/>
              <w:right w:val="nil"/>
            </w:tcBorders>
            <w:tcMar>
              <w:top w:w="80" w:type="dxa"/>
              <w:left w:w="80" w:type="dxa"/>
              <w:bottom w:w="80" w:type="dxa"/>
              <w:right w:w="80" w:type="dxa"/>
            </w:tcMar>
          </w:tcPr>
          <w:p w14:paraId="637F0A6D" w14:textId="77777777" w:rsidR="00686698" w:rsidRDefault="00686698">
            <w:pPr>
              <w:pBdr>
                <w:top w:val="none" w:sz="0" w:space="0" w:color="auto"/>
                <w:left w:val="none" w:sz="0" w:space="0" w:color="auto"/>
                <w:bottom w:val="none" w:sz="0" w:space="0" w:color="auto"/>
                <w:right w:val="none" w:sz="0" w:space="0" w:color="auto"/>
                <w:bar w:val="none" w:sz="0" w:color="auto"/>
              </w:pBdr>
            </w:pPr>
          </w:p>
        </w:tc>
        <w:tc>
          <w:tcPr>
            <w:tcW w:w="5172" w:type="dxa"/>
            <w:tcBorders>
              <w:top w:val="nil"/>
              <w:left w:val="nil"/>
              <w:bottom w:val="nil"/>
              <w:right w:val="nil"/>
            </w:tcBorders>
            <w:tcMar>
              <w:top w:w="80" w:type="dxa"/>
              <w:left w:w="80" w:type="dxa"/>
              <w:bottom w:w="80" w:type="dxa"/>
              <w:right w:w="80" w:type="dxa"/>
            </w:tcMar>
          </w:tcPr>
          <w:p w14:paraId="1BBFE6B8" w14:textId="77777777" w:rsidR="00686698" w:rsidRDefault="00686698">
            <w:pPr>
              <w:pBdr>
                <w:top w:val="none" w:sz="0" w:space="0" w:color="auto"/>
                <w:left w:val="none" w:sz="0" w:space="0" w:color="auto"/>
                <w:bottom w:val="none" w:sz="0" w:space="0" w:color="auto"/>
                <w:right w:val="none" w:sz="0" w:space="0" w:color="auto"/>
                <w:bar w:val="none" w:sz="0" w:color="auto"/>
              </w:pBdr>
            </w:pPr>
          </w:p>
        </w:tc>
      </w:tr>
    </w:tbl>
    <w:p w14:paraId="05BD26C3" w14:textId="77777777" w:rsidR="00686698"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35A147EE" w14:textId="77777777" w:rsidR="00686698" w:rsidRDefault="00686698">
      <w:pPr>
        <w:pStyle w:val="Body"/>
        <w:pBdr>
          <w:top w:val="none" w:sz="0" w:space="0" w:color="auto"/>
          <w:left w:val="none" w:sz="0" w:space="0" w:color="auto"/>
          <w:bottom w:val="none" w:sz="0" w:space="0" w:color="auto"/>
          <w:right w:val="none" w:sz="0" w:space="0" w:color="auto"/>
          <w:bar w:val="none" w:sz="0" w:color="auto"/>
        </w:pBdr>
      </w:pPr>
    </w:p>
    <w:sectPr w:rsidR="00686698" w:rsidSect="00C341BB">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1C04F" w14:textId="77777777" w:rsidR="00445D29" w:rsidRDefault="00445D2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BE8775C" w14:textId="77777777" w:rsidR="00445D29" w:rsidRDefault="00445D2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5CD1"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AB6F" w14:textId="77777777" w:rsidR="00232E6A" w:rsidRDefault="00232E6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A049"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5BFAB"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rPr>
        <w:sz w:val="18"/>
        <w:szCs w:val="18"/>
      </w:rPr>
    </w:pPr>
  </w:p>
  <w:p w14:paraId="1216EA73"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6872B" w14:textId="77777777" w:rsidR="00445D29" w:rsidRDefault="00445D2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843BA58" w14:textId="77777777" w:rsidR="00445D29" w:rsidRDefault="00445D2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D1CC" w14:textId="77777777" w:rsidR="00232E6A" w:rsidRDefault="00232E6A">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3D076" w14:textId="77777777" w:rsidR="00232E6A" w:rsidRDefault="00232E6A">
    <w:pPr>
      <w:pStyle w:val="HeaderFoot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8E0F5" w14:textId="77777777" w:rsidR="00232E6A" w:rsidRDefault="00232E6A">
    <w:pPr>
      <w:pStyle w:val="Header"/>
      <w:pBdr>
        <w:top w:val="none" w:sz="0" w:space="0" w:color="auto"/>
        <w:left w:val="none" w:sz="0" w:space="0" w:color="auto"/>
        <w:bottom w:val="none" w:sz="0" w:space="0" w:color="auto"/>
        <w:right w:val="none" w:sz="0" w:space="0" w:color="auto"/>
        <w:bar w:val="none" w:sz="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F0B11" w14:textId="77777777" w:rsidR="00232E6A" w:rsidRPr="000D3817" w:rsidRDefault="00232E6A">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rPr>
        <w:rFonts w:ascii="Arial" w:hAnsi="Arial"/>
        <w:b/>
        <w:bCs/>
        <w:sz w:val="18"/>
        <w:szCs w:val="18"/>
      </w:rPr>
    </w:pPr>
    <w:r w:rsidRPr="000D3817">
      <w:rPr>
        <w:rFonts w:ascii="Arial" w:hAnsi="Arial"/>
        <w:b/>
        <w:bCs/>
        <w:sz w:val="18"/>
        <w:szCs w:val="18"/>
      </w:rPr>
      <w:t>PROGRAMME SPECIFICATION</w:t>
    </w:r>
  </w:p>
  <w:p w14:paraId="647843AB" w14:textId="69BD50DD" w:rsidR="00232E6A" w:rsidRPr="000D3817" w:rsidRDefault="00232E6A" w:rsidP="000D3817">
    <w:pPr>
      <w:pStyle w:val="Header"/>
      <w:pBdr>
        <w:top w:val="none" w:sz="0" w:space="0" w:color="auto"/>
        <w:left w:val="none" w:sz="0" w:space="0" w:color="auto"/>
        <w:bottom w:val="single" w:sz="4" w:space="1" w:color="auto"/>
        <w:right w:val="none" w:sz="0" w:space="0" w:color="auto"/>
        <w:bar w:val="none" w:sz="0" w:color="auto"/>
      </w:pBdr>
      <w:tabs>
        <w:tab w:val="clear" w:pos="9026"/>
        <w:tab w:val="right" w:pos="9000"/>
      </w:tabs>
      <w:spacing w:line="360" w:lineRule="auto"/>
      <w:rPr>
        <w:rFonts w:ascii="Arial" w:hAnsi="Arial"/>
      </w:rPr>
    </w:pPr>
    <w:r w:rsidRPr="000D3817">
      <w:rPr>
        <w:rFonts w:ascii="Arial" w:hAnsi="Arial"/>
        <w:sz w:val="18"/>
        <w:szCs w:val="18"/>
      </w:rPr>
      <w:t xml:space="preserve">MA Modern European Philosophy – </w:t>
    </w:r>
    <w:r w:rsidR="00BA175C">
      <w:rPr>
        <w:rFonts w:ascii="Arial" w:hAnsi="Arial"/>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2A66"/>
    <w:multiLevelType w:val="multilevel"/>
    <w:tmpl w:val="71F44280"/>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4D6F6B9E"/>
    <w:multiLevelType w:val="multilevel"/>
    <w:tmpl w:val="97B8E00C"/>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abstractNum w:abstractNumId="2" w15:restartNumberingAfterBreak="0">
    <w:nsid w:val="590729A9"/>
    <w:multiLevelType w:val="multilevel"/>
    <w:tmpl w:val="CD7E08AA"/>
    <w:lvl w:ilvl="0">
      <w:start w:val="1"/>
      <w:numFmt w:val="bullet"/>
      <w:lvlText w:val="•"/>
      <w:lvlJc w:val="left"/>
      <w:rPr>
        <w:position w:val="0"/>
      </w:rPr>
    </w:lvl>
    <w:lvl w:ilvl="1">
      <w:start w:val="1"/>
      <w:numFmt w:val="decimal"/>
      <w:lvlText w:val="%2."/>
      <w:lvlJc w:val="left"/>
      <w:rPr>
        <w:rFonts w:cs="Times New Roman"/>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59D21F52"/>
    <w:multiLevelType w:val="multilevel"/>
    <w:tmpl w:val="875C5F0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60130979"/>
    <w:multiLevelType w:val="multilevel"/>
    <w:tmpl w:val="3D5422A0"/>
    <w:styleLink w:val="List1"/>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698023EF"/>
    <w:multiLevelType w:val="multilevel"/>
    <w:tmpl w:val="711233E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6B197978"/>
    <w:multiLevelType w:val="multilevel"/>
    <w:tmpl w:val="733E8CCC"/>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 w15:restartNumberingAfterBreak="0">
    <w:nsid w:val="7AFF6DBE"/>
    <w:multiLevelType w:val="multilevel"/>
    <w:tmpl w:val="9D28A244"/>
    <w:styleLink w:val="List2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8" w15:restartNumberingAfterBreak="0">
    <w:nsid w:val="7BFF313B"/>
    <w:multiLevelType w:val="multilevel"/>
    <w:tmpl w:val="CA26A81E"/>
    <w:styleLink w:val="List0"/>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num w:numId="1">
    <w:abstractNumId w:val="1"/>
  </w:num>
  <w:num w:numId="2">
    <w:abstractNumId w:val="6"/>
  </w:num>
  <w:num w:numId="3">
    <w:abstractNumId w:val="8"/>
  </w:num>
  <w:num w:numId="4">
    <w:abstractNumId w:val="0"/>
  </w:num>
  <w:num w:numId="5">
    <w:abstractNumId w:val="2"/>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20"/>
    <w:rsid w:val="0005175D"/>
    <w:rsid w:val="000817D8"/>
    <w:rsid w:val="000C360B"/>
    <w:rsid w:val="000D3817"/>
    <w:rsid w:val="0010045D"/>
    <w:rsid w:val="001508FC"/>
    <w:rsid w:val="001846E2"/>
    <w:rsid w:val="001E0593"/>
    <w:rsid w:val="00232E6A"/>
    <w:rsid w:val="0028375A"/>
    <w:rsid w:val="00402792"/>
    <w:rsid w:val="00445D29"/>
    <w:rsid w:val="00476120"/>
    <w:rsid w:val="005079A4"/>
    <w:rsid w:val="00660B55"/>
    <w:rsid w:val="00686698"/>
    <w:rsid w:val="00707CED"/>
    <w:rsid w:val="007E1A25"/>
    <w:rsid w:val="00821B98"/>
    <w:rsid w:val="00856C57"/>
    <w:rsid w:val="008A754E"/>
    <w:rsid w:val="00935484"/>
    <w:rsid w:val="00AD1FB7"/>
    <w:rsid w:val="00AD75F7"/>
    <w:rsid w:val="00B1278D"/>
    <w:rsid w:val="00B2034D"/>
    <w:rsid w:val="00B52CDD"/>
    <w:rsid w:val="00BA175C"/>
    <w:rsid w:val="00C341BB"/>
    <w:rsid w:val="00C74F98"/>
    <w:rsid w:val="00D24865"/>
    <w:rsid w:val="00D9309E"/>
    <w:rsid w:val="00E27933"/>
    <w:rsid w:val="00E65D83"/>
    <w:rsid w:val="00F2613F"/>
    <w:rsid w:val="00F74A5E"/>
    <w:rsid w:val="69ADC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BD1BF3"/>
  <w15:docId w15:val="{9BDCF000-78D9-4CB7-8FB0-8248B33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75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sz w:val="16"/>
      <w:szCs w:val="16"/>
      <w:lang w:val="en-GB" w:eastAsia="en-GB"/>
    </w:rPr>
  </w:style>
  <w:style w:type="character" w:customStyle="1" w:styleId="BalloonTextChar">
    <w:name w:val="Balloon Text Char"/>
    <w:link w:val="BalloonText"/>
    <w:uiPriority w:val="99"/>
    <w:semiHidden/>
    <w:rsid w:val="00986D90"/>
    <w:rPr>
      <w:sz w:val="0"/>
      <w:szCs w:val="0"/>
      <w:lang w:val="en-US" w:eastAsia="en-US"/>
    </w:rPr>
  </w:style>
  <w:style w:type="character" w:styleId="Hyperlink">
    <w:name w:val="Hyperlink"/>
    <w:uiPriority w:val="99"/>
    <w:rsid w:val="0028375A"/>
    <w:rPr>
      <w:rFonts w:cs="Times New Roman"/>
      <w:u w:val="single"/>
    </w:rPr>
  </w:style>
  <w:style w:type="paragraph" w:customStyle="1" w:styleId="HeaderFooter">
    <w:name w:val="Header &amp; Footer"/>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paragraph" w:styleId="Header">
    <w:name w:val="header"/>
    <w:basedOn w:val="Normal"/>
    <w:link w:val="HeaderChar"/>
    <w:uiPriority w:val="99"/>
    <w:rsid w:val="0028375A"/>
    <w:pPr>
      <w:tabs>
        <w:tab w:val="center" w:pos="4513"/>
        <w:tab w:val="right" w:pos="9026"/>
      </w:tabs>
    </w:pPr>
    <w:rPr>
      <w:rFonts w:ascii="Calibri" w:hAnsi="Calibri" w:cs="Calibri"/>
      <w:color w:val="000000"/>
      <w:sz w:val="22"/>
      <w:szCs w:val="22"/>
      <w:u w:color="000000"/>
      <w:lang w:eastAsia="en-GB"/>
    </w:rPr>
  </w:style>
  <w:style w:type="character" w:customStyle="1" w:styleId="HeaderChar">
    <w:name w:val="Header Char"/>
    <w:link w:val="Header"/>
    <w:uiPriority w:val="99"/>
    <w:semiHidden/>
    <w:rsid w:val="00986D90"/>
    <w:rPr>
      <w:sz w:val="24"/>
      <w:szCs w:val="24"/>
      <w:lang w:val="en-US" w:eastAsia="en-US"/>
    </w:rPr>
  </w:style>
  <w:style w:type="paragraph" w:styleId="Footer">
    <w:name w:val="footer"/>
    <w:basedOn w:val="Normal"/>
    <w:link w:val="FooterChar"/>
    <w:uiPriority w:val="99"/>
    <w:rsid w:val="0028375A"/>
    <w:pPr>
      <w:tabs>
        <w:tab w:val="center" w:pos="4513"/>
        <w:tab w:val="right" w:pos="9026"/>
      </w:tabs>
    </w:pPr>
    <w:rPr>
      <w:rFonts w:ascii="Calibri" w:hAnsi="Calibri" w:cs="Calibri"/>
      <w:color w:val="000000"/>
      <w:sz w:val="22"/>
      <w:szCs w:val="22"/>
      <w:u w:color="000000"/>
      <w:lang w:eastAsia="en-GB"/>
    </w:rPr>
  </w:style>
  <w:style w:type="character" w:customStyle="1" w:styleId="FooterChar">
    <w:name w:val="Footer Char"/>
    <w:link w:val="Footer"/>
    <w:uiPriority w:val="99"/>
    <w:semiHidden/>
    <w:rsid w:val="00986D90"/>
    <w:rPr>
      <w:sz w:val="24"/>
      <w:szCs w:val="24"/>
      <w:lang w:val="en-US" w:eastAsia="en-US"/>
    </w:rPr>
  </w:style>
  <w:style w:type="paragraph" w:customStyle="1" w:styleId="LightGrid-Accent31">
    <w:name w:val="Light Grid - Accent 31"/>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hAnsi="Calibri" w:cs="Calibri"/>
      <w:color w:val="000000"/>
      <w:sz w:val="22"/>
      <w:szCs w:val="22"/>
      <w:u w:color="000000"/>
      <w:lang w:val="en-US"/>
    </w:rPr>
  </w:style>
  <w:style w:type="paragraph" w:styleId="PlainText">
    <w:name w:val="Plain Text"/>
    <w:basedOn w:val="Normal"/>
    <w:link w:val="PlainTextChar"/>
    <w:uiPriority w:val="99"/>
    <w:rsid w:val="0028375A"/>
    <w:rPr>
      <w:rFonts w:ascii="Courier New" w:hAnsi="Courier New" w:cs="Courier New"/>
      <w:color w:val="000000"/>
      <w:sz w:val="20"/>
      <w:szCs w:val="20"/>
      <w:u w:color="000000"/>
      <w:lang w:eastAsia="en-GB"/>
    </w:rPr>
  </w:style>
  <w:style w:type="character" w:customStyle="1" w:styleId="PlainTextChar">
    <w:name w:val="Plain Text Char"/>
    <w:link w:val="PlainText"/>
    <w:uiPriority w:val="99"/>
    <w:semiHidden/>
    <w:rsid w:val="00986D90"/>
    <w:rPr>
      <w:rFonts w:ascii="Courier New" w:hAnsi="Courier New" w:cs="Courier New"/>
      <w:sz w:val="20"/>
      <w:szCs w:val="20"/>
      <w:lang w:val="en-US" w:eastAsia="en-US"/>
    </w:rPr>
  </w:style>
  <w:style w:type="paragraph" w:styleId="NormalWeb">
    <w:name w:val="Normal (Web)"/>
    <w:basedOn w:val="Normal"/>
    <w:uiPriority w:val="99"/>
    <w:rsid w:val="0028375A"/>
    <w:pPr>
      <w:spacing w:after="200"/>
    </w:pPr>
    <w:rPr>
      <w:rFonts w:ascii="Times" w:hAnsi="Times" w:cs="Times"/>
      <w:color w:val="000000"/>
      <w:sz w:val="20"/>
      <w:szCs w:val="20"/>
      <w:u w:color="000000"/>
      <w:lang w:eastAsia="en-GB"/>
    </w:rPr>
  </w:style>
  <w:style w:type="character" w:customStyle="1" w:styleId="Link">
    <w:name w:val="Link"/>
    <w:uiPriority w:val="99"/>
    <w:rsid w:val="0028375A"/>
    <w:rPr>
      <w:color w:val="0000FF"/>
      <w:u w:val="single" w:color="0000FF"/>
    </w:rPr>
  </w:style>
  <w:style w:type="character" w:customStyle="1" w:styleId="Hyperlink0">
    <w:name w:val="Hyperlink.0"/>
    <w:uiPriority w:val="99"/>
    <w:rsid w:val="0028375A"/>
    <w:rPr>
      <w:rFonts w:ascii="Arial" w:eastAsia="Times New Roman" w:hAnsi="Arial" w:cs="Arial"/>
      <w:color w:val="0000FF"/>
      <w:u w:val="single" w:color="0000FF"/>
    </w:rPr>
  </w:style>
  <w:style w:type="numbering" w:customStyle="1" w:styleId="List1">
    <w:name w:val="List 1"/>
    <w:rsid w:val="00986D90"/>
    <w:pPr>
      <w:numPr>
        <w:numId w:val="6"/>
      </w:numPr>
    </w:pPr>
  </w:style>
  <w:style w:type="numbering" w:customStyle="1" w:styleId="List21">
    <w:name w:val="List 21"/>
    <w:rsid w:val="00986D90"/>
    <w:pPr>
      <w:numPr>
        <w:numId w:val="9"/>
      </w:numPr>
    </w:pPr>
  </w:style>
  <w:style w:type="numbering" w:customStyle="1" w:styleId="List0">
    <w:name w:val="List 0"/>
    <w:rsid w:val="00986D90"/>
    <w:pPr>
      <w:numPr>
        <w:numId w:val="3"/>
      </w:numPr>
    </w:pPr>
  </w:style>
  <w:style w:type="character" w:styleId="UnresolvedMention">
    <w:name w:val="Unresolved Mention"/>
    <w:basedOn w:val="DefaultParagraphFont"/>
    <w:uiPriority w:val="99"/>
    <w:semiHidden/>
    <w:unhideWhenUsed/>
    <w:rsid w:val="0040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linkedinlearning.kingston.ac.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fass.kingston.ac.uk/research/crmep/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kingston.ac.uk/postgraduate-course/modern-european-philosophy-ma/" TargetMode="External"/><Relationship Id="rId10" Type="http://schemas.openxmlformats.org/officeDocument/2006/relationships/image" Target="media/image1.jpeg"/><Relationship Id="rId19" Type="http://schemas.openxmlformats.org/officeDocument/2006/relationships/hyperlink" Target="https://www.kingston.ac.uk/faculties/kingston-school-of-art/research-and-innovation/crm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kingston.ac.uk/faculties/kingston-school-of-art/research-and-innovation/crmep/recent-alu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193999D-8F2A-4520-93F3-8A703DD8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8A628-5625-41F9-8562-D99B7C4CA418}">
  <ds:schemaRefs>
    <ds:schemaRef ds:uri="http://schemas.microsoft.com/sharepoint/v3/contenttype/forms"/>
  </ds:schemaRefs>
</ds:datastoreItem>
</file>

<file path=customXml/itemProps3.xml><?xml version="1.0" encoding="utf-8"?>
<ds:datastoreItem xmlns:ds="http://schemas.openxmlformats.org/officeDocument/2006/customXml" ds:itemID="{3E62A33E-F733-4F79-813D-DA9459D76138}">
  <ds:schemaRefs>
    <ds:schemaRef ds:uri="56bcba56-1e8e-456b-9282-2a60465f51d5"/>
    <ds:schemaRef ds:uri="3949bc56-6107-4a37-a900-858857adfede"/>
    <ds:schemaRef ds:uri="http://schemas.microsoft.com/office/2006/metadata/properties"/>
    <ds:schemaRef ds:uri="30bd1ae3-149d-4880-86ad-393ca53a6c39"/>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4525</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Kate C</dc:creator>
  <cp:keywords/>
  <dc:description/>
  <cp:lastModifiedBy>Allan, Alice E</cp:lastModifiedBy>
  <cp:revision>10</cp:revision>
  <dcterms:created xsi:type="dcterms:W3CDTF">2021-05-05T08:31:00Z</dcterms:created>
  <dcterms:modified xsi:type="dcterms:W3CDTF">2022-08-15T15:12:00Z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KU35048@kingston.ac.uk</vt:lpwstr>
  </property>
  <property fmtid="{D5CDD505-2E9C-101B-9397-08002B2CF9AE}" pid="5" name="MSIP_Label_3b551598-29da-492a-8b9f-8358cd43dd03_SetDate">
    <vt:lpwstr>2021-03-11T09:39:46.5281247Z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65bea870-196e-40e4-908c-340987b0869a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_dlc_DocIdItemGuid">
    <vt:lpwstr>f209bf03-c54e-4ad6-94a6-351f900d898c</vt:lpwstr>
  </property>
  <property fmtid="{D5CDD505-2E9C-101B-9397-08002B2CF9AE}" pid="13" name="TaxKeyword">
    <vt:lpwstr/>
  </property>
</Properties>
</file>