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7B" w:rsidRPr="0059721B" w:rsidRDefault="00195F7B" w:rsidP="00195F7B">
      <w:pPr>
        <w:rPr>
          <w:rFonts w:ascii="Arial" w:hAnsi="Arial" w:cs="Arial"/>
          <w:noProof/>
        </w:rPr>
      </w:pPr>
    </w:p>
    <w:p w:rsidR="00195F7B" w:rsidRPr="0059721B" w:rsidRDefault="00355C37" w:rsidP="00195F7B">
      <w:pPr>
        <w:jc w:val="right"/>
        <w:rPr>
          <w:rFonts w:ascii="Arial" w:hAnsi="Arial" w:cs="Arial"/>
          <w:b/>
          <w:szCs w:val="24"/>
        </w:rPr>
      </w:pPr>
      <w:r>
        <w:rPr>
          <w:rFonts w:ascii="Arial" w:hAnsi="Arial" w:cs="Arial"/>
          <w:b/>
          <w:noProof/>
          <w:szCs w:val="24"/>
          <w:lang w:eastAsia="en-GB"/>
        </w:rPr>
        <w:drawing>
          <wp:inline distT="0" distB="0" distL="0" distR="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195F7B" w:rsidRPr="0059721B" w:rsidRDefault="00195F7B"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Title of Course:</w:t>
      </w:r>
      <w:r w:rsidR="00A81263">
        <w:rPr>
          <w:rFonts w:ascii="Arial" w:hAnsi="Arial" w:cs="Arial"/>
          <w:b/>
          <w:sz w:val="28"/>
          <w:szCs w:val="24"/>
        </w:rPr>
        <w:tab/>
      </w:r>
      <w:r w:rsidR="00A81263" w:rsidRPr="00A81263">
        <w:rPr>
          <w:rFonts w:ascii="Arial" w:hAnsi="Arial" w:cs="Arial"/>
          <w:b/>
          <w:sz w:val="28"/>
          <w:szCs w:val="24"/>
        </w:rPr>
        <w:t>MSc in Pharmaceutical Technology</w:t>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A81263">
        <w:rPr>
          <w:rFonts w:ascii="Arial" w:hAnsi="Arial" w:cs="Arial"/>
          <w:b/>
          <w:sz w:val="28"/>
          <w:szCs w:val="24"/>
        </w:rPr>
        <w:t xml:space="preserve"> </w:t>
      </w:r>
      <w:r w:rsidR="00A81263" w:rsidRPr="00A81263">
        <w:rPr>
          <w:rFonts w:ascii="Arial" w:hAnsi="Arial" w:cs="Arial"/>
          <w:b/>
          <w:sz w:val="28"/>
          <w:szCs w:val="24"/>
        </w:rPr>
        <w:t>December 2012</w:t>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A81263">
        <w:rPr>
          <w:rFonts w:ascii="Arial" w:hAnsi="Arial" w:cs="Arial"/>
          <w:b/>
          <w:sz w:val="28"/>
          <w:szCs w:val="24"/>
        </w:rPr>
        <w:t xml:space="preserve"> </w:t>
      </w:r>
      <w:r w:rsidR="00A04194" w:rsidRPr="00A04194">
        <w:rPr>
          <w:rFonts w:ascii="Arial" w:hAnsi="Arial" w:cs="Arial"/>
          <w:b/>
          <w:sz w:val="28"/>
          <w:szCs w:val="24"/>
        </w:rPr>
        <w:t>November 201</w:t>
      </w:r>
      <w:r w:rsidR="00BA5031">
        <w:rPr>
          <w:rFonts w:ascii="Arial" w:hAnsi="Arial" w:cs="Arial"/>
          <w:b/>
          <w:sz w:val="28"/>
          <w:szCs w:val="24"/>
        </w:rPr>
        <w:t>7</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BA3602" w:rsidRDefault="00BA3602" w:rsidP="00195F7B">
      <w:pPr>
        <w:rPr>
          <w:rFonts w:ascii="Arial" w:hAnsi="Arial" w:cs="Arial"/>
          <w:szCs w:val="24"/>
        </w:rPr>
      </w:pPr>
    </w:p>
    <w:p w:rsidR="00195F7B" w:rsidRPr="00A04194" w:rsidRDefault="00BA3602" w:rsidP="00195F7B">
      <w:pPr>
        <w:rPr>
          <w:rFonts w:ascii="Arial" w:hAnsi="Arial" w:cs="Arial"/>
          <w:i/>
          <w:color w:val="FF0000"/>
          <w:szCs w:val="24"/>
        </w:rPr>
      </w:pPr>
      <w:r w:rsidRPr="00BA3602">
        <w:rPr>
          <w:rFonts w:ascii="Arial" w:hAnsi="Arial" w:cs="Arial"/>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r w:rsidR="00195F7B" w:rsidRPr="005432FE">
        <w:rPr>
          <w:rFonts w:ascii="Arial" w:hAnsi="Arial" w:cs="Arial"/>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195F7B" w:rsidRPr="00BA5031"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Title:</w:t>
            </w:r>
          </w:p>
        </w:tc>
        <w:tc>
          <w:tcPr>
            <w:tcW w:w="5306" w:type="dxa"/>
          </w:tcPr>
          <w:p w:rsidR="00195F7B" w:rsidRPr="00BA5031" w:rsidRDefault="00BA5031" w:rsidP="00BA216C">
            <w:pPr>
              <w:rPr>
                <w:rFonts w:ascii="Arial" w:hAnsi="Arial" w:cs="Arial"/>
                <w:szCs w:val="24"/>
              </w:rPr>
            </w:pPr>
            <w:r>
              <w:rPr>
                <w:rFonts w:ascii="Arial" w:hAnsi="Arial" w:cs="Arial"/>
                <w:szCs w:val="24"/>
              </w:rPr>
              <w:t>MSc</w:t>
            </w:r>
          </w:p>
        </w:tc>
      </w:tr>
      <w:tr w:rsidR="00195F7B" w:rsidRPr="00BA5031"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Awarding Institution:</w:t>
            </w:r>
          </w:p>
          <w:p w:rsidR="00195F7B" w:rsidRPr="009044FD" w:rsidRDefault="00195F7B" w:rsidP="00BA216C">
            <w:pPr>
              <w:rPr>
                <w:rFonts w:ascii="Arial" w:hAnsi="Arial" w:cs="Arial"/>
                <w:b/>
                <w:szCs w:val="24"/>
              </w:rPr>
            </w:pPr>
          </w:p>
        </w:tc>
        <w:tc>
          <w:tcPr>
            <w:tcW w:w="5306" w:type="dxa"/>
          </w:tcPr>
          <w:p w:rsidR="00195F7B" w:rsidRPr="00BA5031" w:rsidRDefault="00195F7B" w:rsidP="00BA216C">
            <w:pPr>
              <w:rPr>
                <w:rFonts w:ascii="Arial" w:hAnsi="Arial" w:cs="Arial"/>
                <w:szCs w:val="24"/>
              </w:rPr>
            </w:pPr>
            <w:r w:rsidRPr="00BA5031">
              <w:rPr>
                <w:rFonts w:ascii="Arial" w:hAnsi="Arial" w:cs="Arial"/>
                <w:szCs w:val="24"/>
              </w:rPr>
              <w:t>Kingston University</w:t>
            </w:r>
          </w:p>
        </w:tc>
      </w:tr>
      <w:tr w:rsidR="00A81263" w:rsidRPr="00BA5031" w:rsidTr="00BA216C">
        <w:tc>
          <w:tcPr>
            <w:tcW w:w="3936" w:type="dxa"/>
          </w:tcPr>
          <w:p w:rsidR="00A81263" w:rsidRPr="009044FD" w:rsidRDefault="00A81263" w:rsidP="00BA216C">
            <w:pPr>
              <w:rPr>
                <w:rFonts w:ascii="Arial" w:hAnsi="Arial" w:cs="Arial"/>
                <w:b/>
                <w:szCs w:val="24"/>
              </w:rPr>
            </w:pPr>
            <w:r w:rsidRPr="009044FD">
              <w:rPr>
                <w:rFonts w:ascii="Arial" w:hAnsi="Arial" w:cs="Arial"/>
                <w:b/>
                <w:szCs w:val="24"/>
              </w:rPr>
              <w:t>Teaching Institution:</w:t>
            </w:r>
          </w:p>
          <w:p w:rsidR="00A81263" w:rsidRPr="009044FD" w:rsidRDefault="00A81263" w:rsidP="00BA216C">
            <w:pPr>
              <w:rPr>
                <w:rFonts w:ascii="Arial" w:hAnsi="Arial" w:cs="Arial"/>
                <w:b/>
                <w:szCs w:val="24"/>
              </w:rPr>
            </w:pPr>
          </w:p>
        </w:tc>
        <w:tc>
          <w:tcPr>
            <w:tcW w:w="5306" w:type="dxa"/>
          </w:tcPr>
          <w:p w:rsidR="00A81263" w:rsidRPr="00BA5031" w:rsidRDefault="00A81263" w:rsidP="00A81263">
            <w:pPr>
              <w:rPr>
                <w:rFonts w:ascii="Arial" w:hAnsi="Arial" w:cs="Arial"/>
              </w:rPr>
            </w:pPr>
            <w:r w:rsidRPr="00BA5031">
              <w:rPr>
                <w:rFonts w:ascii="Arial" w:hAnsi="Arial" w:cs="Arial"/>
              </w:rPr>
              <w:t>Kingston University</w:t>
            </w:r>
          </w:p>
        </w:tc>
      </w:tr>
      <w:tr w:rsidR="00A81263" w:rsidRPr="00BA5031" w:rsidTr="00BA216C">
        <w:tc>
          <w:tcPr>
            <w:tcW w:w="3936" w:type="dxa"/>
          </w:tcPr>
          <w:p w:rsidR="00A81263" w:rsidRPr="009044FD" w:rsidRDefault="00A81263" w:rsidP="00BA216C">
            <w:pPr>
              <w:rPr>
                <w:rFonts w:ascii="Arial" w:hAnsi="Arial" w:cs="Arial"/>
                <w:b/>
                <w:szCs w:val="24"/>
              </w:rPr>
            </w:pPr>
            <w:r w:rsidRPr="009044FD">
              <w:rPr>
                <w:rFonts w:ascii="Arial" w:hAnsi="Arial" w:cs="Arial"/>
                <w:b/>
                <w:szCs w:val="24"/>
              </w:rPr>
              <w:t>Location:</w:t>
            </w:r>
          </w:p>
        </w:tc>
        <w:tc>
          <w:tcPr>
            <w:tcW w:w="5306" w:type="dxa"/>
          </w:tcPr>
          <w:p w:rsidR="00A81263" w:rsidRPr="00BA5031" w:rsidRDefault="00A81263" w:rsidP="00A81263">
            <w:pPr>
              <w:rPr>
                <w:rFonts w:ascii="Arial" w:hAnsi="Arial" w:cs="Arial"/>
              </w:rPr>
            </w:pPr>
            <w:r w:rsidRPr="00BA5031">
              <w:rPr>
                <w:rFonts w:ascii="Arial" w:hAnsi="Arial" w:cs="Arial"/>
              </w:rPr>
              <w:t>Penrhyn Road</w:t>
            </w:r>
          </w:p>
          <w:p w:rsidR="00A81263" w:rsidRPr="00BA5031" w:rsidRDefault="00A81263" w:rsidP="00A81263">
            <w:pPr>
              <w:rPr>
                <w:rFonts w:ascii="Arial" w:hAnsi="Arial" w:cs="Arial"/>
              </w:rPr>
            </w:pPr>
          </w:p>
        </w:tc>
      </w:tr>
      <w:tr w:rsidR="00A81263" w:rsidRPr="00BA5031" w:rsidTr="00BA216C">
        <w:tc>
          <w:tcPr>
            <w:tcW w:w="3936" w:type="dxa"/>
          </w:tcPr>
          <w:p w:rsidR="00A81263" w:rsidRPr="009044FD" w:rsidRDefault="00A81263" w:rsidP="00BA216C">
            <w:pPr>
              <w:rPr>
                <w:rFonts w:ascii="Arial" w:hAnsi="Arial" w:cs="Arial"/>
                <w:b/>
                <w:szCs w:val="24"/>
              </w:rPr>
            </w:pPr>
            <w:r w:rsidRPr="009044FD">
              <w:rPr>
                <w:rFonts w:ascii="Arial" w:hAnsi="Arial" w:cs="Arial"/>
                <w:b/>
                <w:szCs w:val="24"/>
              </w:rPr>
              <w:t>Programme Accredited by:</w:t>
            </w:r>
          </w:p>
          <w:p w:rsidR="00A81263" w:rsidRPr="009044FD" w:rsidRDefault="00A81263" w:rsidP="00BA216C">
            <w:pPr>
              <w:rPr>
                <w:rFonts w:ascii="Arial" w:hAnsi="Arial" w:cs="Arial"/>
                <w:b/>
                <w:szCs w:val="24"/>
              </w:rPr>
            </w:pPr>
          </w:p>
        </w:tc>
        <w:tc>
          <w:tcPr>
            <w:tcW w:w="5306" w:type="dxa"/>
          </w:tcPr>
          <w:p w:rsidR="00A81263" w:rsidRPr="00BA5031" w:rsidRDefault="00A81263" w:rsidP="00A81263">
            <w:pPr>
              <w:rPr>
                <w:rFonts w:ascii="Arial" w:hAnsi="Arial" w:cs="Arial"/>
              </w:rPr>
            </w:pPr>
            <w:r w:rsidRPr="00BA5031">
              <w:rPr>
                <w:rFonts w:ascii="Arial" w:hAnsi="Arial" w:cs="Arial"/>
              </w:rPr>
              <w:t>N/A</w:t>
            </w:r>
          </w:p>
        </w:tc>
      </w:tr>
    </w:tbl>
    <w:p w:rsidR="00195F7B" w:rsidRPr="00A81263" w:rsidRDefault="00195F7B" w:rsidP="00195F7B">
      <w:pPr>
        <w:rPr>
          <w:rFonts w:ascii="Arial" w:hAnsi="Arial" w:cs="Arial"/>
          <w:b/>
          <w:szCs w:val="24"/>
        </w:rPr>
      </w:pPr>
    </w:p>
    <w:p w:rsidR="00195F7B" w:rsidRPr="00A81263" w:rsidRDefault="00195F7B" w:rsidP="00195F7B">
      <w:pPr>
        <w:rPr>
          <w:rFonts w:ascii="Arial" w:hAnsi="Arial" w:cs="Arial"/>
          <w:b/>
          <w:szCs w:val="24"/>
        </w:rPr>
      </w:pPr>
      <w:r w:rsidRPr="00A81263">
        <w:rPr>
          <w:rFonts w:ascii="Arial" w:hAnsi="Arial" w:cs="Arial"/>
          <w:b/>
          <w:szCs w:val="24"/>
        </w:rPr>
        <w:t>SECTION2: THE PROGRAMME</w:t>
      </w:r>
      <w:bookmarkStart w:id="0" w:name="_GoBack"/>
      <w:bookmarkEnd w:id="0"/>
    </w:p>
    <w:p w:rsidR="00195F7B" w:rsidRPr="00A81263" w:rsidRDefault="00195F7B" w:rsidP="00195F7B">
      <w:pPr>
        <w:rPr>
          <w:rFonts w:ascii="Arial" w:hAnsi="Arial" w:cs="Arial"/>
          <w:b/>
          <w:szCs w:val="24"/>
        </w:rPr>
      </w:pPr>
    </w:p>
    <w:p w:rsidR="00195F7B" w:rsidRPr="00A81263" w:rsidRDefault="00195F7B" w:rsidP="00410BEE">
      <w:pPr>
        <w:pStyle w:val="ListParagraph"/>
        <w:numPr>
          <w:ilvl w:val="0"/>
          <w:numId w:val="3"/>
        </w:numPr>
        <w:autoSpaceDE/>
        <w:autoSpaceDN/>
        <w:contextualSpacing/>
        <w:rPr>
          <w:rFonts w:cs="Arial"/>
          <w:sz w:val="24"/>
          <w:szCs w:val="24"/>
        </w:rPr>
      </w:pPr>
      <w:r w:rsidRPr="00A81263">
        <w:rPr>
          <w:rFonts w:cs="Arial"/>
          <w:b/>
          <w:sz w:val="24"/>
          <w:szCs w:val="24"/>
        </w:rPr>
        <w:t>Programme Introduction</w:t>
      </w:r>
    </w:p>
    <w:p w:rsidR="00A81263" w:rsidRPr="00A81263" w:rsidRDefault="00A81263" w:rsidP="00A81263">
      <w:pPr>
        <w:rPr>
          <w:rFonts w:ascii="Arial" w:hAnsi="Arial" w:cs="Arial"/>
          <w:i/>
          <w:szCs w:val="24"/>
        </w:rPr>
      </w:pPr>
    </w:p>
    <w:p w:rsidR="00A81263" w:rsidRPr="00A81263" w:rsidRDefault="00A81263" w:rsidP="00A81263">
      <w:pPr>
        <w:rPr>
          <w:rFonts w:ascii="Arial" w:hAnsi="Arial" w:cs="Arial"/>
          <w:szCs w:val="24"/>
        </w:rPr>
      </w:pPr>
      <w:r w:rsidRPr="00A81263">
        <w:rPr>
          <w:rFonts w:ascii="Arial" w:hAnsi="Arial" w:cs="Arial"/>
          <w:szCs w:val="24"/>
        </w:rPr>
        <w:t xml:space="preserve">The MSc in Pharmaceutical Technology is a programme that covers the methods by which a medicine is designed and developed, and ultimately manufactured. The programme covers the traditional paradigm of the formulation of a small molecule active as well as the more recent shift towards the formulation of proteins, nucleotides and other macromolecules, and multi-molecular assemblies such as liposomes. Students will get hands-on experience with a range of analytical techniques including differential scanning calorimetry and X-ray diffraction, as well as a variety of development and manufacturing techniques such as spray drying and tabletting.  </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The programme is delivered predominantly by research-active lecturers, many of whom have a background in industry or regulatory affairs (including the MHRA; the UK regulatory body). This, along with the use of external speakers ensures the course covers leading edge subjects and remains relevant. The majority of staff also have a post-graduate qualification in teaching.</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 xml:space="preserve">Whilst a significant proportion of the programme is delivered through traditional tutorials, lectures and practicals, and written assignments and exams make up a significant proportion of the assessment strategy, technology-enhanced learning and assessment is used extensively throughout the program. The online workspace Blackboard is used to deliver material to support lectures and can be accessed via a web-browser or mobile phone app. The electronic voting system Turningpoint is used to provide interactivity during lectures and tutorials. A variety of assessments (including practical results and tests) are submitted online to maximise accessibility and provide instant feedback. 24h access to the Learning Resource Centre ensures that students with only limited IT provision at home are not disadvantaged significantly. </w:t>
      </w:r>
    </w:p>
    <w:p w:rsidR="00A81263" w:rsidRPr="00A81263" w:rsidRDefault="00A81263" w:rsidP="00A81263">
      <w:pPr>
        <w:rPr>
          <w:rFonts w:ascii="Arial" w:hAnsi="Arial" w:cs="Arial"/>
          <w:szCs w:val="24"/>
        </w:rPr>
      </w:pPr>
    </w:p>
    <w:p w:rsidR="00195F7B" w:rsidRDefault="00A81263" w:rsidP="00A81263">
      <w:pPr>
        <w:rPr>
          <w:rFonts w:ascii="Arial" w:hAnsi="Arial" w:cs="Arial"/>
          <w:szCs w:val="24"/>
        </w:rPr>
      </w:pPr>
      <w:r w:rsidRPr="00A81263">
        <w:rPr>
          <w:rFonts w:ascii="Arial" w:hAnsi="Arial" w:cs="Arial"/>
          <w:szCs w:val="24"/>
        </w:rPr>
        <w:t>Employability has been embedded into the programme through the use of wide variety of relevant formative and summative assessments culminating in the research project and dissertation. Our online ePDP has been designed to aid the development self-critical faculties through the course. To improve their public-speaking skills and confidence, students will be guided through the production of a number of presentations with additional support from the SEC study skills centre (S3) and the Wellness seminars provided by student support services.</w:t>
      </w:r>
    </w:p>
    <w:p w:rsidR="00A44846" w:rsidRDefault="00A44846" w:rsidP="00A81263">
      <w:pPr>
        <w:rPr>
          <w:rFonts w:ascii="Arial" w:hAnsi="Arial" w:cs="Arial"/>
          <w:szCs w:val="24"/>
        </w:rPr>
      </w:pPr>
    </w:p>
    <w:p w:rsidR="00A44846" w:rsidRPr="00A44846" w:rsidRDefault="00A44846" w:rsidP="00A44846">
      <w:pPr>
        <w:spacing w:after="120" w:line="276" w:lineRule="auto"/>
        <w:rPr>
          <w:rFonts w:ascii="Arial" w:eastAsiaTheme="minorHAnsi" w:hAnsi="Arial" w:cs="Arial"/>
        </w:rPr>
      </w:pPr>
      <w:r w:rsidRPr="00A44846">
        <w:rPr>
          <w:rFonts w:ascii="Arial" w:eastAsiaTheme="minorHAnsi" w:hAnsi="Arial" w:cs="Arial"/>
        </w:rPr>
        <w:t>The programme also helps develop employment-ready students through an integrated industrial experience in the form of a work placement on the two year version of the programme.</w:t>
      </w:r>
    </w:p>
    <w:p w:rsidR="00A81263" w:rsidRPr="00A44846" w:rsidRDefault="00A44846" w:rsidP="00A44846">
      <w:pPr>
        <w:spacing w:after="120" w:line="276" w:lineRule="auto"/>
        <w:rPr>
          <w:rFonts w:ascii="Arial" w:eastAsiaTheme="minorHAnsi" w:hAnsi="Arial" w:cs="Arial"/>
        </w:rPr>
      </w:pPr>
      <w:r w:rsidRPr="00A44846">
        <w:rPr>
          <w:rFonts w:ascii="Arial" w:eastAsiaTheme="minorHAnsi" w:hAnsi="Arial" w:cs="Arial"/>
        </w:rPr>
        <w:lastRenderedPageBreak/>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00195F7B" w:rsidRPr="00A81263" w:rsidRDefault="00195F7B" w:rsidP="00410BEE">
      <w:pPr>
        <w:pStyle w:val="ListParagraph"/>
        <w:numPr>
          <w:ilvl w:val="0"/>
          <w:numId w:val="3"/>
        </w:numPr>
        <w:autoSpaceDE/>
        <w:autoSpaceDN/>
        <w:contextualSpacing/>
        <w:rPr>
          <w:rFonts w:cs="Arial"/>
          <w:sz w:val="24"/>
          <w:szCs w:val="24"/>
        </w:rPr>
      </w:pPr>
      <w:r w:rsidRPr="00A81263">
        <w:rPr>
          <w:rFonts w:cs="Arial"/>
          <w:b/>
          <w:sz w:val="24"/>
          <w:szCs w:val="24"/>
        </w:rPr>
        <w:t>Aims of the Programme</w:t>
      </w:r>
    </w:p>
    <w:p w:rsidR="00A81263" w:rsidRPr="00A81263" w:rsidRDefault="00A81263" w:rsidP="00A44846">
      <w:pPr>
        <w:contextualSpacing/>
        <w:rPr>
          <w:rFonts w:ascii="Arial" w:hAnsi="Arial" w:cs="Arial"/>
        </w:rPr>
      </w:pP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To provide graduates with a broad but deep knowledge base covering the formulation of medicines from drug to product.</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 xml:space="preserve">To provide graduates with an understanding of the regulations that governs product development, manufacture </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 xml:space="preserve">To produce post-graduates with a knowledge and skills base that allows pursuit of both scientific and non-scientific careers in a variety of pharmaceutical work environments. </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To provide a course relevant to industry and regulatory bodies.</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To foster an atmosphere in which teamwork, exchange of ideas and debate are encouraged.</w:t>
      </w:r>
    </w:p>
    <w:p w:rsidR="00A81263" w:rsidRPr="00A81263" w:rsidRDefault="00A81263" w:rsidP="00A81263">
      <w:pPr>
        <w:numPr>
          <w:ilvl w:val="0"/>
          <w:numId w:val="8"/>
        </w:numPr>
        <w:spacing w:after="200" w:line="276" w:lineRule="auto"/>
        <w:ind w:left="360"/>
        <w:contextualSpacing/>
        <w:jc w:val="both"/>
        <w:rPr>
          <w:rFonts w:ascii="Arial" w:hAnsi="Arial" w:cs="Arial"/>
        </w:rPr>
      </w:pPr>
      <w:r w:rsidRPr="00A81263">
        <w:rPr>
          <w:rFonts w:ascii="Arial" w:hAnsi="Arial" w:cs="Arial"/>
        </w:rPr>
        <w:t>To equip graduates with key problem solving skills in preparation for their careers.</w:t>
      </w:r>
    </w:p>
    <w:p w:rsidR="00A81263" w:rsidRP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provide the skills required for self-management and autonomy in the planning, organisation and conduct of an independent research project.</w:t>
      </w:r>
    </w:p>
    <w:p w:rsidR="00A81263" w:rsidRP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provide students with opportunities to develop their written and oral communication skills, and practical skills to aid employability.</w:t>
      </w:r>
    </w:p>
    <w:p w:rsidR="00A81263" w:rsidRP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enable students to identify, locate and critically appraise secondary and primary sources.</w:t>
      </w:r>
    </w:p>
    <w:p w:rsidR="00A81263" w:rsidRP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offer the opportunity for students to express originality and creativity in the quest for new knowledge, the application of current knowledge to new situations or the analysis of  knowledge from a novel standpoint.</w:t>
      </w:r>
    </w:p>
    <w:p w:rsidR="00A81263" w:rsidRDefault="00A81263" w:rsidP="00A81263">
      <w:pPr>
        <w:numPr>
          <w:ilvl w:val="0"/>
          <w:numId w:val="7"/>
        </w:numPr>
        <w:spacing w:after="200" w:line="276" w:lineRule="auto"/>
        <w:contextualSpacing/>
        <w:rPr>
          <w:rFonts w:ascii="Arial" w:hAnsi="Arial" w:cs="Arial"/>
        </w:rPr>
      </w:pPr>
      <w:r w:rsidRPr="00A81263">
        <w:rPr>
          <w:rFonts w:ascii="Arial" w:hAnsi="Arial" w:cs="Arial"/>
        </w:rPr>
        <w:t>To give students a critical awareness of and engagement with current research methods and techniques.</w:t>
      </w:r>
    </w:p>
    <w:p w:rsidR="00195F7B" w:rsidRPr="00A44846" w:rsidRDefault="00A44846" w:rsidP="00A44846">
      <w:pPr>
        <w:numPr>
          <w:ilvl w:val="0"/>
          <w:numId w:val="7"/>
        </w:numPr>
        <w:spacing w:after="200"/>
        <w:contextualSpacing/>
        <w:rPr>
          <w:rFonts w:ascii="Arial" w:hAnsi="Arial" w:cs="Arial"/>
        </w:rPr>
      </w:pPr>
      <w:r w:rsidRPr="003100F4">
        <w:rPr>
          <w:rFonts w:ascii="Arial" w:hAnsi="Arial" w:cs="Arial"/>
        </w:rPr>
        <w:t>Give students on the 2 year version an opportunity to develop further</w:t>
      </w:r>
      <w:r>
        <w:rPr>
          <w:rFonts w:ascii="Arial" w:hAnsi="Arial" w:cs="Arial"/>
        </w:rPr>
        <w:t xml:space="preserve"> skills, </w:t>
      </w:r>
      <w:r w:rsidRPr="003100F4">
        <w:rPr>
          <w:rFonts w:ascii="Arial" w:hAnsi="Arial" w:cs="Arial"/>
        </w:rPr>
        <w:t xml:space="preserve"> preparing them for higher levels of employment</w:t>
      </w:r>
    </w:p>
    <w:p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Intended Learning Outcomes</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 xml:space="preserve">The programme provides opportunities for students to develop and demonstrate knowledge and understanding, skills and other attributes in the following areas.  The programme outcomes are referenced to the QAA subject benchmarks </w:t>
      </w:r>
      <w:r w:rsidR="00A81263" w:rsidRPr="00A81263">
        <w:rPr>
          <w:rFonts w:ascii="Arial" w:hAnsi="Arial" w:cs="Arial"/>
          <w:szCs w:val="24"/>
        </w:rPr>
        <w:t xml:space="preserve">Chemistry and Pharmacy </w:t>
      </w:r>
      <w:r w:rsidRPr="0059721B">
        <w:rPr>
          <w:rFonts w:ascii="Arial" w:hAnsi="Arial" w:cs="Arial"/>
          <w:szCs w:val="24"/>
        </w:rPr>
        <w:t>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p>
    <w:p w:rsidR="00195F7B" w:rsidRPr="0059721B" w:rsidRDefault="00195F7B" w:rsidP="00195F7B">
      <w:pPr>
        <w:ind w:left="720"/>
        <w:contextualSpacing/>
        <w:rPr>
          <w:rFonts w:ascii="Arial" w:hAnsi="Arial" w:cs="Arial"/>
          <w:szCs w:val="24"/>
        </w:rPr>
        <w:sectPr w:rsidR="00195F7B" w:rsidRPr="0059721B" w:rsidSect="00D27AE4">
          <w:foot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A81263" w:rsidRPr="00A81263" w:rsidTr="00A8126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jc w:val="center"/>
              <w:rPr>
                <w:rFonts w:cs="Arial"/>
                <w:b/>
                <w:sz w:val="20"/>
                <w:szCs w:val="20"/>
              </w:rPr>
            </w:pPr>
            <w:r w:rsidRPr="00A81263">
              <w:rPr>
                <w:rFonts w:cs="Arial"/>
                <w:b/>
                <w:sz w:val="20"/>
                <w:szCs w:val="20"/>
              </w:rPr>
              <w:lastRenderedPageBreak/>
              <w:t>Programme Learning Outcomes</w:t>
            </w:r>
          </w:p>
        </w:tc>
      </w:tr>
      <w:tr w:rsidR="00A81263" w:rsidRPr="00A81263" w:rsidTr="00A81263">
        <w:tc>
          <w:tcPr>
            <w:tcW w:w="675"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Knowledge and Understanding</w:t>
            </w:r>
          </w:p>
          <w:p w:rsidR="00A81263" w:rsidRPr="00A81263" w:rsidRDefault="00A81263" w:rsidP="00A81263">
            <w:pPr>
              <w:rPr>
                <w:rFonts w:cs="Arial"/>
                <w:b/>
                <w:sz w:val="20"/>
                <w:szCs w:val="20"/>
              </w:rPr>
            </w:pPr>
          </w:p>
          <w:p w:rsidR="00A81263" w:rsidRPr="00A81263" w:rsidRDefault="00A81263" w:rsidP="00A81263">
            <w:pPr>
              <w:rPr>
                <w:rFonts w:cs="Arial"/>
                <w:sz w:val="20"/>
                <w:szCs w:val="20"/>
              </w:rPr>
            </w:pPr>
            <w:r w:rsidRPr="00A81263">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Intellectual skills – able to:</w:t>
            </w:r>
          </w:p>
          <w:p w:rsidR="00A81263" w:rsidRPr="00A81263" w:rsidRDefault="00A81263" w:rsidP="00A81263">
            <w:pPr>
              <w:rPr>
                <w:rFonts w:cs="Arial"/>
                <w:b/>
                <w:sz w:val="20"/>
                <w:szCs w:val="20"/>
              </w:rPr>
            </w:pPr>
          </w:p>
          <w:p w:rsidR="00A81263" w:rsidRPr="00A81263" w:rsidRDefault="00A81263" w:rsidP="00A81263">
            <w:pPr>
              <w:rPr>
                <w:rFonts w:cs="Arial"/>
                <w:b/>
                <w:sz w:val="20"/>
                <w:szCs w:val="20"/>
              </w:rPr>
            </w:pPr>
            <w:r w:rsidRPr="00A81263">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 xml:space="preserve">Subject Practical skills </w:t>
            </w:r>
          </w:p>
          <w:p w:rsidR="00A81263" w:rsidRPr="00A81263" w:rsidRDefault="00A81263" w:rsidP="00A81263">
            <w:pPr>
              <w:rPr>
                <w:rFonts w:cs="Arial"/>
                <w:b/>
                <w:sz w:val="20"/>
                <w:szCs w:val="20"/>
              </w:rPr>
            </w:pPr>
          </w:p>
          <w:p w:rsidR="00A81263" w:rsidRPr="00A81263" w:rsidRDefault="00A81263" w:rsidP="00A81263">
            <w:pPr>
              <w:rPr>
                <w:rFonts w:cs="Arial"/>
                <w:sz w:val="20"/>
                <w:szCs w:val="20"/>
              </w:rPr>
            </w:pPr>
            <w:r w:rsidRPr="00A81263">
              <w:rPr>
                <w:rFonts w:cs="Arial"/>
                <w:b/>
                <w:sz w:val="20"/>
                <w:szCs w:val="20"/>
              </w:rPr>
              <w:t>On completion of the course students will be able to:</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apply pharmaceutical technologies in a variety of situations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ind w:left="34"/>
              <w:rPr>
                <w:rFonts w:cs="Arial"/>
                <w:sz w:val="20"/>
                <w:szCs w:val="20"/>
              </w:rPr>
            </w:pPr>
            <w:r w:rsidRPr="00A81263">
              <w:rPr>
                <w:rFonts w:cs="Arial"/>
                <w:sz w:val="20"/>
                <w:szCs w:val="20"/>
              </w:rPr>
              <w:t>discuss and solve the problems that can arise during pharmaceutical development</w:t>
            </w:r>
          </w:p>
          <w:p w:rsidR="00A81263" w:rsidRPr="00A81263" w:rsidRDefault="00A81263" w:rsidP="00A81263">
            <w:pPr>
              <w:ind w:left="360"/>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carry out subject related practical work safely and understand safety requirements, including preparing completed CoSHH forms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understand and use the principles and theories introduced in the courses and apply that knowledge to familiar and unfamiliar situations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demonstrate the ability to be both independent, autonomous learners and to interact with co-workers in a variety of situations, to mutual benefit</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select and use in an efficient manner the techniques used widely in the pharmaceutical industry </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display advanced skills in interpretation and discussion of data, be it from laboratory or patient, and recognise the significance of the results to industry/society in general</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select  appropriate techniques and procedures for carrying out particular pharmaceutical analyses</w:t>
            </w:r>
          </w:p>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plan and implement GxP and consistent practice, reliably recording methods and results using appropriate methods to critically analyse the data and evaluate the level of its uncertainty</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utilise specialist knowledge of quality assurance and control of pharmaceuticals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assemble data from a variety of sources and discern and establish connections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use a range of complex instruments and understand their technological basis </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discuss new strategies in pharmaceutical science and technology</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critically analyse and appraise both primary and secondary information sources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be conversant with the detailed and strict requirements of facilities used in manufacturing medicines for use by patients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understand how a research project operates and undertake research in a logical and safe manner</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plan, carry out and report investigations with an effective self-critical attitude</w:t>
            </w:r>
          </w:p>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design controlled experiments to investigate qualitative and/or quantitative characteristics of forensic samples</w:t>
            </w:r>
            <w:r w:rsidRPr="00A81263">
              <w:t xml:space="preserve"> </w:t>
            </w:r>
            <w:r w:rsidRPr="00A81263">
              <w:rPr>
                <w:sz w:val="20"/>
                <w:szCs w:val="20"/>
              </w:rPr>
              <w:t>and</w:t>
            </w:r>
            <w:r w:rsidRPr="00A81263">
              <w:t xml:space="preserve"> </w:t>
            </w:r>
            <w:r w:rsidRPr="00A81263">
              <w:rPr>
                <w:rFonts w:cs="Arial"/>
                <w:sz w:val="20"/>
                <w:szCs w:val="20"/>
              </w:rPr>
              <w:t>apply and adapt problem solving skills to unfamiliar, complex and open-ended situations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A7</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understand how to prepare a research report and poster in the correct format and to have an active engagement and familiarity with recent and current research methods, results and publications </w:t>
            </w:r>
          </w:p>
          <w:p w:rsidR="00A81263" w:rsidRPr="00A81263" w:rsidRDefault="00A81263" w:rsidP="00A81263">
            <w:pP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B7</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develop an understanding of the challenges particular to the pharmaceutical industry, and with reflection and recall of both theoretical and practical skills, surmount those challenges.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C7</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recommend improvements in methodology, technology or interpretation that enhance the performance of processes and/or procedures.</w:t>
            </w:r>
          </w:p>
        </w:tc>
      </w:tr>
      <w:tr w:rsidR="00A81263" w:rsidRPr="00A81263" w:rsidTr="00A8126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jc w:val="center"/>
              <w:rPr>
                <w:rFonts w:cs="Arial"/>
                <w:b/>
                <w:sz w:val="20"/>
                <w:szCs w:val="20"/>
              </w:rPr>
            </w:pPr>
            <w:r w:rsidRPr="00A81263">
              <w:rPr>
                <w:rFonts w:cs="Arial"/>
                <w:b/>
                <w:sz w:val="20"/>
                <w:szCs w:val="20"/>
              </w:rPr>
              <w:t>Key Skills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BA5031" w:rsidP="00A81263">
            <w:pPr>
              <w:rPr>
                <w:rFonts w:cs="Arial"/>
                <w:b/>
                <w:sz w:val="20"/>
                <w:szCs w:val="20"/>
              </w:rPr>
            </w:pPr>
            <w:r w:rsidRPr="00A81263">
              <w:rPr>
                <w:rFonts w:cs="Arial"/>
                <w:b/>
                <w:sz w:val="20"/>
                <w:szCs w:val="20"/>
              </w:rPr>
              <w:t>Self-Awareness</w:t>
            </w:r>
            <w:r w:rsidR="00A81263" w:rsidRPr="00A81263">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Interpersonal Skills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Work well  with others in a group or team</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Recognise own academic strengths and </w:t>
            </w:r>
            <w:r w:rsidRPr="00A81263">
              <w:rPr>
                <w:rFonts w:cs="Arial"/>
                <w:sz w:val="20"/>
                <w:szCs w:val="20"/>
              </w:rPr>
              <w:lastRenderedPageBreak/>
              <w:t>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lastRenderedPageBreak/>
              <w:t>BK2</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 xml:space="preserve">Present, challenge and defend  ideas and </w:t>
            </w:r>
            <w:r w:rsidRPr="00A81263">
              <w:rPr>
                <w:rFonts w:cs="Arial"/>
                <w:sz w:val="20"/>
                <w:szCs w:val="20"/>
              </w:rPr>
              <w:lastRenderedPageBreak/>
              <w:t>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lastRenderedPageBreak/>
              <w:t>CK2</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Work flexibly and respond to change</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lastRenderedPageBreak/>
              <w:t>AK3</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Discuss and debate with others and make concession to reach agreement</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Give, accept and respond to constructive feedback</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Show sensitivity and respect for diverse values and beliefs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r w:rsidRPr="00A81263">
              <w:rPr>
                <w:rFonts w:cs="Arial"/>
                <w:b/>
                <w:sz w:val="20"/>
                <w:szCs w:val="20"/>
              </w:rPr>
              <w:t>Management &amp; Leadership Skills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Determine the scope of a task (or project)</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Identify resources needed to undertake the task (or project) and to schedule and manage the resources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Evidence ability to successfully complete and evaluate a task (or project), revising the plan where necessary</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Motivate and direct others to enable an effective contribution from all participants</w:t>
            </w: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r w:rsidRPr="00A81263">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A81263" w:rsidRPr="00A81263" w:rsidRDefault="00A81263" w:rsidP="00A81263">
            <w:pPr>
              <w:rPr>
                <w:rFonts w:cs="Arial"/>
                <w:sz w:val="20"/>
                <w:szCs w:val="20"/>
              </w:rPr>
            </w:pP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r w:rsidRPr="00A81263">
              <w:rPr>
                <w:rFonts w:cs="Arial"/>
                <w:b/>
                <w:sz w:val="20"/>
                <w:szCs w:val="20"/>
              </w:rPr>
              <w:t>Creativity and Problem Solving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View problems from a range of perspectives to find solutions to problems</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GK3</w:t>
            </w: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Imagine, create and exploit ideas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c>
          <w:tcPr>
            <w:tcW w:w="675"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sz w:val="20"/>
                <w:szCs w:val="20"/>
              </w:rPr>
            </w:pPr>
            <w:r w:rsidRPr="00A81263">
              <w:rPr>
                <w:b/>
                <w:sz w:val="20"/>
                <w:szCs w:val="20"/>
              </w:rPr>
              <w:t>Teaching/learning methods and strategies</w:t>
            </w:r>
          </w:p>
        </w:tc>
      </w:tr>
      <w:tr w:rsidR="00A81263" w:rsidRPr="00A81263" w:rsidTr="00A81263">
        <w:tc>
          <w:tcPr>
            <w:tcW w:w="14283" w:type="dxa"/>
            <w:gridSpan w:val="7"/>
            <w:tcBorders>
              <w:top w:val="single" w:sz="4" w:space="0" w:color="auto"/>
              <w:left w:val="single" w:sz="4" w:space="0" w:color="auto"/>
              <w:right w:val="single" w:sz="4" w:space="0" w:color="auto"/>
            </w:tcBorders>
          </w:tcPr>
          <w:p w:rsidR="00A81263" w:rsidRPr="00A81263" w:rsidRDefault="00A81263" w:rsidP="00A81263">
            <w:pPr>
              <w:suppressAutoHyphens/>
              <w:jc w:val="both"/>
              <w:outlineLvl w:val="0"/>
              <w:rPr>
                <w:rFonts w:cs="Arial"/>
                <w:spacing w:val="-3"/>
                <w:sz w:val="20"/>
                <w:szCs w:val="20"/>
              </w:rPr>
            </w:pPr>
            <w:r w:rsidRPr="00A81263">
              <w:rPr>
                <w:rFonts w:cs="Arial"/>
                <w:spacing w:val="-3"/>
                <w:sz w:val="20"/>
                <w:szCs w:val="20"/>
              </w:rPr>
              <w:t xml:space="preserve">   The range of learning and teaching strategies includes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formal lectures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e-learning</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group projects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seminars and workshops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case studies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lastRenderedPageBreak/>
              <w:t>practical investigations and fieldwork</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demonstrations of equipment and techniques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independent learning from guided texts and work books</w:t>
            </w:r>
          </w:p>
          <w:p w:rsidR="00A81263" w:rsidRPr="00A81263" w:rsidRDefault="00A81263" w:rsidP="00A81263">
            <w:pPr>
              <w:numPr>
                <w:ilvl w:val="0"/>
                <w:numId w:val="9"/>
              </w:numPr>
              <w:suppressAutoHyphens/>
              <w:spacing w:line="276" w:lineRule="auto"/>
              <w:jc w:val="both"/>
              <w:outlineLvl w:val="0"/>
              <w:rPr>
                <w:rFonts w:cs="Arial"/>
                <w:spacing w:val="-3"/>
                <w:sz w:val="20"/>
                <w:szCs w:val="20"/>
                <w:lang w:val="en-US"/>
              </w:rPr>
            </w:pPr>
            <w:r w:rsidRPr="00A81263">
              <w:rPr>
                <w:rFonts w:cs="Arial"/>
                <w:spacing w:val="-3"/>
                <w:sz w:val="20"/>
                <w:szCs w:val="20"/>
                <w:lang w:val="en-US"/>
              </w:rPr>
              <w:t>research projects</w:t>
            </w:r>
          </w:p>
        </w:tc>
      </w:tr>
      <w:tr w:rsidR="00A81263" w:rsidRPr="00A81263" w:rsidTr="00A81263">
        <w:tc>
          <w:tcPr>
            <w:tcW w:w="7141" w:type="dxa"/>
            <w:gridSpan w:val="4"/>
            <w:tcBorders>
              <w:left w:val="single" w:sz="4" w:space="0" w:color="auto"/>
            </w:tcBorders>
          </w:tcPr>
          <w:p w:rsidR="00A81263" w:rsidRPr="00A81263" w:rsidRDefault="00A81263" w:rsidP="00A81263">
            <w:pPr>
              <w:suppressAutoHyphens/>
              <w:ind w:left="360"/>
              <w:jc w:val="both"/>
              <w:outlineLvl w:val="0"/>
              <w:rPr>
                <w:rFonts w:cs="Arial"/>
                <w:spacing w:val="-3"/>
                <w:sz w:val="20"/>
                <w:szCs w:val="20"/>
              </w:rPr>
            </w:pPr>
          </w:p>
        </w:tc>
        <w:tc>
          <w:tcPr>
            <w:tcW w:w="7142" w:type="dxa"/>
            <w:gridSpan w:val="3"/>
            <w:tcBorders>
              <w:right w:val="single" w:sz="4" w:space="0" w:color="auto"/>
            </w:tcBorders>
          </w:tcPr>
          <w:p w:rsidR="00A81263" w:rsidRPr="00A81263" w:rsidRDefault="00A81263" w:rsidP="00A81263">
            <w:pPr>
              <w:suppressAutoHyphens/>
              <w:jc w:val="both"/>
              <w:outlineLvl w:val="0"/>
              <w:rPr>
                <w:rFonts w:cs="Arial"/>
                <w:sz w:val="20"/>
                <w:szCs w:val="20"/>
              </w:rPr>
            </w:pPr>
            <w:r w:rsidRPr="00A81263">
              <w:rPr>
                <w:rFonts w:cs="Arial"/>
                <w:spacing w:val="-3"/>
                <w:sz w:val="20"/>
                <w:szCs w:val="20"/>
              </w:rPr>
              <w:t xml:space="preserve"> </w:t>
            </w:r>
          </w:p>
        </w:tc>
      </w:tr>
      <w:tr w:rsidR="00A81263" w:rsidRPr="00A81263" w:rsidTr="00A81263">
        <w:tc>
          <w:tcPr>
            <w:tcW w:w="14283" w:type="dxa"/>
            <w:gridSpan w:val="7"/>
            <w:tcBorders>
              <w:left w:val="single" w:sz="4" w:space="0" w:color="auto"/>
              <w:bottom w:val="single" w:sz="4" w:space="0" w:color="auto"/>
              <w:right w:val="single" w:sz="4" w:space="0" w:color="auto"/>
            </w:tcBorders>
            <w:shd w:val="clear" w:color="auto" w:fill="DBE5F1"/>
          </w:tcPr>
          <w:p w:rsidR="00A81263" w:rsidRPr="00A81263" w:rsidRDefault="00A81263" w:rsidP="00A81263">
            <w:pPr>
              <w:rPr>
                <w:rFonts w:cs="Arial"/>
                <w:b/>
                <w:sz w:val="20"/>
                <w:szCs w:val="20"/>
              </w:rPr>
            </w:pPr>
            <w:r w:rsidRPr="00A81263">
              <w:rPr>
                <w:rFonts w:cs="Arial"/>
                <w:b/>
                <w:sz w:val="20"/>
                <w:szCs w:val="20"/>
              </w:rPr>
              <w:t>Assessment strategies</w:t>
            </w:r>
          </w:p>
        </w:tc>
      </w:tr>
      <w:tr w:rsidR="00A81263" w:rsidRPr="00A81263" w:rsidTr="00A81263">
        <w:tc>
          <w:tcPr>
            <w:tcW w:w="14283" w:type="dxa"/>
            <w:gridSpan w:val="7"/>
            <w:tcBorders>
              <w:top w:val="single" w:sz="4" w:space="0" w:color="auto"/>
              <w:left w:val="single" w:sz="4" w:space="0" w:color="auto"/>
              <w:right w:val="single" w:sz="4" w:space="0" w:color="auto"/>
            </w:tcBorders>
          </w:tcPr>
          <w:p w:rsidR="00A81263" w:rsidRPr="00A81263" w:rsidRDefault="00A81263" w:rsidP="00A81263">
            <w:pPr>
              <w:suppressAutoHyphens/>
              <w:jc w:val="both"/>
              <w:rPr>
                <w:rFonts w:cs="Arial"/>
                <w:spacing w:val="-3"/>
                <w:sz w:val="20"/>
                <w:szCs w:val="20"/>
              </w:rPr>
            </w:pPr>
            <w:r w:rsidRPr="00A81263">
              <w:rPr>
                <w:rFonts w:cs="Arial"/>
                <w:spacing w:val="-3"/>
                <w:sz w:val="20"/>
                <w:szCs w:val="20"/>
              </w:rPr>
              <w:t>The assessment strategies employed in the Fields include the following:</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practical reports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essays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problem-solving exercises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data interpretation exercises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case studies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group and individual presentations</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literature surveys (formative and summative)</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unseen examinations/tests, (MCQ, short answer, essay)</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major project report</w:t>
            </w:r>
          </w:p>
          <w:p w:rsidR="00A81263" w:rsidRPr="00A81263" w:rsidRDefault="00A81263" w:rsidP="00A81263">
            <w:pPr>
              <w:numPr>
                <w:ilvl w:val="0"/>
                <w:numId w:val="10"/>
              </w:numPr>
              <w:tabs>
                <w:tab w:val="num" w:pos="1080"/>
              </w:tabs>
              <w:suppressAutoHyphens/>
              <w:spacing w:line="276" w:lineRule="auto"/>
              <w:ind w:firstLine="66"/>
              <w:jc w:val="both"/>
              <w:rPr>
                <w:rFonts w:cs="Arial"/>
                <w:spacing w:val="-3"/>
                <w:sz w:val="20"/>
                <w:szCs w:val="20"/>
              </w:rPr>
            </w:pPr>
            <w:r w:rsidRPr="00A81263">
              <w:rPr>
                <w:rFonts w:cs="Arial"/>
                <w:spacing w:val="-3"/>
                <w:sz w:val="20"/>
                <w:szCs w:val="20"/>
              </w:rPr>
              <w:t>oral questioning at the poster session</w:t>
            </w:r>
          </w:p>
        </w:tc>
      </w:tr>
      <w:tr w:rsidR="00A81263" w:rsidRPr="00A81263" w:rsidTr="00A81263">
        <w:tc>
          <w:tcPr>
            <w:tcW w:w="7141" w:type="dxa"/>
            <w:gridSpan w:val="4"/>
            <w:tcBorders>
              <w:left w:val="single" w:sz="4" w:space="0" w:color="auto"/>
              <w:bottom w:val="single" w:sz="4" w:space="0" w:color="auto"/>
            </w:tcBorders>
          </w:tcPr>
          <w:p w:rsidR="00A81263" w:rsidRPr="00A81263" w:rsidRDefault="00A81263" w:rsidP="00A81263">
            <w:pPr>
              <w:suppressAutoHyphens/>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rsidR="00A81263" w:rsidRPr="00A81263" w:rsidRDefault="00A81263" w:rsidP="00A81263">
            <w:pPr>
              <w:suppressAutoHyphens/>
              <w:jc w:val="both"/>
              <w:outlineLvl w:val="0"/>
              <w:rPr>
                <w:rFonts w:cs="Arial"/>
                <w:spacing w:val="-3"/>
                <w:sz w:val="20"/>
                <w:szCs w:val="20"/>
              </w:rPr>
            </w:pPr>
          </w:p>
        </w:tc>
      </w:tr>
    </w:tbl>
    <w:p w:rsidR="00D27AE4" w:rsidRDefault="00D27AE4" w:rsidP="00195F7B"/>
    <w:p w:rsidR="00D27AE4" w:rsidRDefault="00D27AE4" w:rsidP="00195F7B"/>
    <w:p w:rsidR="00D27AE4" w:rsidRPr="0059721B" w:rsidRDefault="00D27AE4" w:rsidP="00195F7B"/>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5432FE" w:rsidRDefault="005432FE" w:rsidP="00195F7B">
      <w:pPr>
        <w:rPr>
          <w:rFonts w:ascii="Arial" w:hAnsi="Arial" w:cs="Arial"/>
        </w:rPr>
      </w:pPr>
    </w:p>
    <w:p w:rsidR="005432FE" w:rsidRDefault="005432FE" w:rsidP="00195F7B">
      <w:pPr>
        <w:rPr>
          <w:rFonts w:ascii="Arial" w:hAnsi="Arial" w:cs="Arial"/>
        </w:rPr>
      </w:pPr>
    </w:p>
    <w:p w:rsidR="00A81263" w:rsidRDefault="00A81263" w:rsidP="00195F7B">
      <w:pPr>
        <w:rPr>
          <w:rFonts w:ascii="Arial" w:hAnsi="Arial" w:cs="Arial"/>
        </w:rPr>
      </w:pPr>
    </w:p>
    <w:p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rsidTr="00B55861">
        <w:tc>
          <w:tcPr>
            <w:tcW w:w="15417" w:type="dxa"/>
            <w:gridSpan w:val="7"/>
            <w:shd w:val="clear" w:color="auto" w:fill="DBE5F1"/>
          </w:tcPr>
          <w:p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rsidTr="00B55861">
        <w:tc>
          <w:tcPr>
            <w:tcW w:w="2202" w:type="dxa"/>
            <w:shd w:val="clear" w:color="auto" w:fill="DBE5F1"/>
            <w:vAlign w:val="center"/>
          </w:tcPr>
          <w:p w:rsidR="000B54AF" w:rsidRPr="00B55861" w:rsidRDefault="00BA5031" w:rsidP="00B55861">
            <w:pPr>
              <w:jc w:val="center"/>
              <w:rPr>
                <w:rFonts w:ascii="Arial" w:hAnsi="Arial" w:cs="Arial"/>
                <w:b/>
                <w:sz w:val="20"/>
                <w:szCs w:val="20"/>
              </w:rPr>
            </w:pPr>
            <w:r w:rsidRPr="00B55861">
              <w:rPr>
                <w:rFonts w:ascii="Arial" w:hAnsi="Arial" w:cs="Arial"/>
                <w:b/>
                <w:sz w:val="20"/>
                <w:szCs w:val="20"/>
              </w:rPr>
              <w:t>Self-Awareness</w:t>
            </w:r>
            <w:r w:rsidR="000B54AF" w:rsidRPr="00B55861">
              <w:rPr>
                <w:rFonts w:ascii="Arial" w:hAnsi="Arial" w:cs="Arial"/>
                <w:b/>
                <w:sz w:val="20"/>
                <w:szCs w:val="20"/>
              </w:rPr>
              <w:t xml:space="preserve">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r w:rsidRPr="00B55861">
              <w:rPr>
                <w:rFonts w:ascii="Arial" w:hAnsi="Arial" w:cs="Arial"/>
                <w:sz w:val="20"/>
                <w:szCs w:val="20"/>
              </w:rPr>
              <w:lastRenderedPageBreak/>
              <w:t>performance and progress and respond to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lastRenderedPageBreak/>
              <w:t>Present, challenge and defend  ideas and results effectively orally and in writing</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Identify resources needed to undertake the task (or project) and to schedule and </w:t>
            </w:r>
            <w:r w:rsidRPr="00B55861">
              <w:rPr>
                <w:rFonts w:ascii="Arial" w:hAnsi="Arial" w:cs="Arial"/>
                <w:sz w:val="20"/>
                <w:szCs w:val="20"/>
              </w:rPr>
              <w:lastRenderedPageBreak/>
              <w:t>manage the resources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lastRenderedPageBreak/>
              <w:t xml:space="preserve">Work with complex ideas and justify judgements made through effective use </w:t>
            </w:r>
            <w:r w:rsidRPr="00B55861">
              <w:rPr>
                <w:rFonts w:ascii="Arial" w:hAnsi="Arial" w:cs="Arial"/>
                <w:sz w:val="20"/>
                <w:szCs w:val="20"/>
              </w:rPr>
              <w:lastRenderedPageBreak/>
              <w:t>of evidence</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lastRenderedPageBreak/>
              <w:t>Organise self effectively, agreeing and setting realistic targets, accessing support where appropriate and managing time to achieve targets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rPr>
          <w:trHeight w:val="564"/>
        </w:trPr>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rsidR="000B54AF" w:rsidRPr="00B55861" w:rsidRDefault="000B54AF" w:rsidP="00B55861">
            <w:pPr>
              <w:jc w:val="center"/>
              <w:rPr>
                <w:rFonts w:ascii="Arial" w:hAnsi="Arial" w:cs="Arial"/>
                <w:sz w:val="20"/>
                <w:szCs w:val="20"/>
              </w:rPr>
            </w:pPr>
          </w:p>
          <w:p w:rsidR="000B54AF" w:rsidRPr="00B55861" w:rsidRDefault="000B54AF" w:rsidP="00B55861">
            <w:pPr>
              <w:jc w:val="center"/>
              <w:rPr>
                <w:rFonts w:ascii="Arial" w:hAnsi="Arial" w:cs="Arial"/>
                <w:sz w:val="20"/>
                <w:szCs w:val="20"/>
              </w:rPr>
            </w:pPr>
          </w:p>
          <w:p w:rsidR="000B54AF" w:rsidRPr="00B55861" w:rsidRDefault="000B54AF" w:rsidP="00B55861">
            <w:pPr>
              <w:jc w:val="center"/>
              <w:rPr>
                <w:rFonts w:ascii="Arial" w:hAnsi="Arial" w:cs="Arial"/>
                <w:sz w:val="20"/>
                <w:szCs w:val="20"/>
              </w:rPr>
            </w:pPr>
          </w:p>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bl>
    <w:p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rsidR="00195F7B" w:rsidRPr="0059721B" w:rsidRDefault="00195F7B" w:rsidP="00195F7B">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Candidates with a UK or UK equivalent (stated by NARIC) second class Bachelor Honour's degree in a Chemistry , Pharmacy or Life Science discipline are qualified to register for the MSc.</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Candidates with an alternative qualification such as an HND are normally expected to have appropriate experience in analysis or pharmaceutical science.</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British nationals/majority English-speaking nation nationals need a GCSE Grade C or above in English or an equivalent qualification.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one of the following recognised English Language examinations (or equivalent):</w:t>
      </w:r>
    </w:p>
    <w:p w:rsidR="00A81263" w:rsidRPr="00A81263" w:rsidRDefault="00A81263" w:rsidP="00A81263">
      <w:pPr>
        <w:rPr>
          <w:rFonts w:ascii="Arial" w:hAnsi="Arial" w:cs="Arial"/>
          <w:szCs w:val="24"/>
        </w:rPr>
      </w:pPr>
    </w:p>
    <w:p w:rsidR="00A81263" w:rsidRPr="00A81263" w:rsidRDefault="00A81263" w:rsidP="00A81263">
      <w:pPr>
        <w:rPr>
          <w:rFonts w:ascii="Arial" w:hAnsi="Arial" w:cs="Arial"/>
          <w:szCs w:val="24"/>
        </w:rPr>
      </w:pPr>
      <w:r w:rsidRPr="00A81263">
        <w:rPr>
          <w:rFonts w:ascii="Arial" w:hAnsi="Arial" w:cs="Arial"/>
          <w:szCs w:val="24"/>
        </w:rPr>
        <w:t xml:space="preserve">British Council IELTS test: Band 6.5 overall or above (with the following minimum scores: W=6.0 and R=5.5, L=5.5, S=5.5); PTEA overall 61 or above (with the following minimum scores W=56 and R,L,S=51) </w:t>
      </w:r>
      <w:r w:rsidRPr="00A81263">
        <w:rPr>
          <w:rFonts w:ascii="Arial" w:hAnsi="Arial" w:cs="Arial"/>
          <w:szCs w:val="24"/>
        </w:rPr>
        <w:cr/>
      </w:r>
    </w:p>
    <w:p w:rsidR="00195F7B" w:rsidRPr="0059721B" w:rsidRDefault="00195F7B" w:rsidP="00A81263">
      <w:pPr>
        <w:rPr>
          <w:rFonts w:ascii="Arial" w:hAnsi="Arial" w:cs="Arial"/>
          <w:szCs w:val="24"/>
        </w:rPr>
      </w:pPr>
      <w:r w:rsidRPr="0059721B">
        <w:rPr>
          <w:rFonts w:ascii="Arial" w:hAnsi="Arial" w:cs="Arial"/>
          <w:b/>
          <w:szCs w:val="24"/>
        </w:rPr>
        <w:tab/>
      </w:r>
      <w:r w:rsidRPr="0059721B">
        <w:rPr>
          <w:rFonts w:ascii="Arial" w:hAnsi="Arial" w:cs="Arial"/>
          <w:b/>
          <w:szCs w:val="24"/>
        </w:rPr>
        <w:tab/>
      </w:r>
    </w:p>
    <w:p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rsidR="00A81263" w:rsidRDefault="00A81263" w:rsidP="00195F7B">
      <w:pPr>
        <w:rPr>
          <w:rFonts w:ascii="Arial" w:hAnsi="Arial" w:cs="Arial"/>
          <w:szCs w:val="24"/>
        </w:rPr>
      </w:pPr>
    </w:p>
    <w:p w:rsidR="00195F7B" w:rsidRDefault="00A81263" w:rsidP="00195F7B">
      <w:pPr>
        <w:rPr>
          <w:rFonts w:ascii="Arial" w:hAnsi="Arial" w:cs="Arial"/>
          <w:szCs w:val="24"/>
        </w:rPr>
      </w:pPr>
      <w:r w:rsidRPr="00A81263">
        <w:rPr>
          <w:rFonts w:ascii="Arial" w:hAnsi="Arial" w:cs="Arial"/>
          <w:szCs w:val="24"/>
        </w:rPr>
        <w:t>This programme is offered in full-time mode, and leads to the award of PG Diploma or MSc. Entry is normally in September.</w:t>
      </w:r>
    </w:p>
    <w:p w:rsidR="00A81263" w:rsidRPr="0059721B" w:rsidRDefault="00A81263" w:rsidP="00195F7B">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A81263" w:rsidRDefault="00A81263" w:rsidP="009F53D3">
      <w:pPr>
        <w:rPr>
          <w:rFonts w:ascii="Arial" w:hAnsi="Arial" w:cs="Arial"/>
          <w:szCs w:val="24"/>
        </w:rPr>
      </w:pPr>
    </w:p>
    <w:p w:rsidR="00195F7B" w:rsidRPr="00A81263" w:rsidRDefault="00A81263" w:rsidP="009F53D3">
      <w:pPr>
        <w:rPr>
          <w:rFonts w:ascii="Arial" w:hAnsi="Arial" w:cs="Arial"/>
          <w:szCs w:val="24"/>
        </w:rPr>
      </w:pPr>
      <w:r>
        <w:rPr>
          <w:rFonts w:ascii="Arial" w:hAnsi="Arial" w:cs="Arial"/>
          <w:szCs w:val="24"/>
        </w:rPr>
        <w:t>None</w:t>
      </w:r>
    </w:p>
    <w:p w:rsidR="00195F7B" w:rsidRPr="0059721B" w:rsidRDefault="00195F7B" w:rsidP="009F53D3">
      <w:pPr>
        <w:rPr>
          <w:rFonts w:ascii="Arial" w:hAnsi="Arial" w:cs="Arial"/>
          <w:szCs w:val="24"/>
        </w:rPr>
      </w:pPr>
    </w:p>
    <w:p w:rsidR="00A81263" w:rsidRDefault="00195F7B" w:rsidP="00A8126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w:t>
      </w:r>
      <w:r w:rsidR="00A81263">
        <w:rPr>
          <w:rFonts w:ascii="Arial" w:hAnsi="Arial" w:cs="Arial"/>
          <w:b/>
          <w:szCs w:val="24"/>
        </w:rPr>
        <w:t>, including sandwich programmes</w:t>
      </w:r>
    </w:p>
    <w:p w:rsidR="00A81263" w:rsidRDefault="00A81263" w:rsidP="00A81263">
      <w:pPr>
        <w:rPr>
          <w:rFonts w:ascii="Arial" w:hAnsi="Arial" w:cs="Arial"/>
          <w:szCs w:val="24"/>
        </w:rPr>
      </w:pPr>
    </w:p>
    <w:p w:rsidR="00195F7B" w:rsidRDefault="00195F7B" w:rsidP="00A81263">
      <w:pPr>
        <w:rPr>
          <w:rFonts w:ascii="Arial" w:hAnsi="Arial" w:cs="Arial"/>
          <w:szCs w:val="24"/>
        </w:rPr>
      </w:pPr>
      <w:r w:rsidRPr="0059721B">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A44846" w:rsidRDefault="00A44846" w:rsidP="00A81263">
      <w:pPr>
        <w:rPr>
          <w:rFonts w:ascii="Arial" w:hAnsi="Arial" w:cs="Arial"/>
          <w:szCs w:val="24"/>
        </w:rPr>
      </w:pPr>
    </w:p>
    <w:p w:rsidR="00A44846" w:rsidRPr="00A44846" w:rsidRDefault="00A44846" w:rsidP="00A44846">
      <w:pPr>
        <w:spacing w:after="200" w:line="276" w:lineRule="auto"/>
        <w:jc w:val="both"/>
        <w:rPr>
          <w:rFonts w:ascii="Arial" w:eastAsiaTheme="minorHAnsi" w:hAnsi="Arial" w:cs="Arial"/>
        </w:rPr>
      </w:pPr>
      <w:r w:rsidRPr="00A44846">
        <w:rPr>
          <w:rFonts w:ascii="Arial" w:eastAsiaTheme="minorHAnsi" w:hAnsi="Arial" w:cs="Arial"/>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rsidR="00A44846" w:rsidRPr="00A44846" w:rsidRDefault="00A44846" w:rsidP="00A44846">
      <w:pPr>
        <w:spacing w:after="120" w:line="276" w:lineRule="auto"/>
        <w:rPr>
          <w:rFonts w:ascii="Arial" w:eastAsiaTheme="minorHAnsi" w:hAnsi="Arial" w:cs="Arial"/>
        </w:rPr>
      </w:pPr>
      <w:r w:rsidRPr="00A44846">
        <w:rPr>
          <w:rFonts w:ascii="Arial" w:eastAsiaTheme="minorHAnsi" w:hAnsi="Arial" w:cs="Arial"/>
        </w:rPr>
        <w:t xml:space="preserve">While it is the responsibility of individual students to secure such placements, the KUTalent support offers each student support at all stages of the application process, including writing CVs, completing application forms, participating in mock interviews, assessment centre </w:t>
      </w:r>
      <w:r w:rsidRPr="00A44846">
        <w:rPr>
          <w:rFonts w:ascii="Arial" w:eastAsiaTheme="minorHAnsi" w:hAnsi="Arial" w:cs="Arial"/>
        </w:rPr>
        <w:lastRenderedPageBreak/>
        <w:t>activities and psychometric tests. The process of applying for a placement gives students the opportunity to experience a real-life, competitive job application process.</w:t>
      </w:r>
    </w:p>
    <w:p w:rsidR="00A44846" w:rsidRPr="00A44846" w:rsidRDefault="00A44846" w:rsidP="00A44846">
      <w:pPr>
        <w:spacing w:after="120" w:line="276" w:lineRule="auto"/>
        <w:rPr>
          <w:rFonts w:ascii="Arial" w:eastAsiaTheme="minorHAnsi" w:hAnsi="Arial" w:cs="Arial"/>
        </w:rPr>
      </w:pPr>
      <w:r w:rsidRPr="00A44846">
        <w:rPr>
          <w:rFonts w:ascii="Arial" w:eastAsiaTheme="minorHAnsi" w:hAnsi="Arial" w:cs="Arial"/>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00A44846" w:rsidRPr="00A44846" w:rsidRDefault="00A44846" w:rsidP="00A44846">
      <w:pPr>
        <w:spacing w:after="200" w:line="276" w:lineRule="auto"/>
        <w:jc w:val="both"/>
        <w:rPr>
          <w:rFonts w:ascii="Arial" w:eastAsiaTheme="minorHAnsi" w:hAnsi="Arial" w:cs="Arial"/>
        </w:rPr>
      </w:pPr>
      <w:r w:rsidRPr="00A44846">
        <w:rPr>
          <w:rFonts w:ascii="Arial" w:eastAsiaTheme="minorHAnsi" w:hAnsi="Arial" w:cs="Arial"/>
        </w:rPr>
        <w:t>Students who undertake work-based placements often benefit greatly from the experience, gaining real expe</w:t>
      </w:r>
      <w:r>
        <w:rPr>
          <w:rFonts w:ascii="Arial" w:eastAsiaTheme="minorHAnsi" w:hAnsi="Arial" w:cs="Arial"/>
        </w:rPr>
        <w:t>rie</w:t>
      </w:r>
      <w:r w:rsidRPr="00A44846">
        <w:rPr>
          <w:rFonts w:ascii="Arial" w:eastAsiaTheme="minorHAnsi" w:hAnsi="Arial" w:cs="Arial"/>
        </w:rPr>
        <w:t>nce and work achievements</w:t>
      </w:r>
    </w:p>
    <w:p w:rsidR="00195F7B" w:rsidRPr="0059721B" w:rsidRDefault="00195F7B" w:rsidP="00195F7B">
      <w:pPr>
        <w:ind w:left="720"/>
        <w:rPr>
          <w:rFonts w:ascii="Arial" w:hAnsi="Arial" w:cs="Arial"/>
          <w:szCs w:val="24"/>
        </w:rPr>
      </w:pPr>
    </w:p>
    <w:p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rsidR="00195F7B" w:rsidRDefault="00195F7B" w:rsidP="00195F7B">
      <w:pPr>
        <w:rPr>
          <w:rFonts w:ascii="Arial" w:hAnsi="Arial" w:cs="Arial"/>
          <w:szCs w:val="24"/>
        </w:rPr>
      </w:pPr>
    </w:p>
    <w:p w:rsidR="00A81263" w:rsidRPr="00A81263" w:rsidRDefault="00A81263" w:rsidP="00A81263">
      <w:pPr>
        <w:rPr>
          <w:rFonts w:cs="Arial"/>
          <w:color w:val="FF0000"/>
        </w:rPr>
      </w:pPr>
      <w:r w:rsidRPr="00A81263">
        <w:rPr>
          <w:rFonts w:cs="Arial"/>
        </w:rPr>
        <w:t>The MSc</w:t>
      </w:r>
      <w:r w:rsidRPr="00A81263" w:rsidDel="001854C7">
        <w:rPr>
          <w:rFonts w:cs="Arial"/>
        </w:rPr>
        <w:t xml:space="preserve"> </w:t>
      </w:r>
      <w:r w:rsidRPr="00A81263">
        <w:rPr>
          <w:rFonts w:cs="Arial"/>
        </w:rPr>
        <w:t>is made up of four modules each worth 30 credit points with an additional 60 credits that must be obtained via a research project (180 credits total). All students will be provided with the University regulations (Postgraduate Credit Framework).  Full details of each module will be provided in module descriptors and student module guides.</w:t>
      </w:r>
    </w:p>
    <w:p w:rsidR="00A81263" w:rsidRPr="00A81263" w:rsidRDefault="00A81263" w:rsidP="00A81263">
      <w:pPr>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9247"/>
      </w:tblGrid>
      <w:tr w:rsidR="00A81263" w:rsidRPr="00A81263" w:rsidTr="00A81263">
        <w:tc>
          <w:tcPr>
            <w:tcW w:w="9247" w:type="dxa"/>
            <w:tcBorders>
              <w:top w:val="single" w:sz="4" w:space="0" w:color="auto"/>
              <w:bottom w:val="nil"/>
            </w:tcBorders>
          </w:tcPr>
          <w:tbl>
            <w:tblPr>
              <w:tblpPr w:leftFromText="180" w:rightFromText="180" w:vertAnchor="page" w:horzAnchor="margin" w:tblpY="84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1"/>
              <w:gridCol w:w="3081"/>
            </w:tblGrid>
            <w:tr w:rsidR="00A81263" w:rsidRPr="00A81263" w:rsidTr="00A81263">
              <w:tc>
                <w:tcPr>
                  <w:tcW w:w="9242" w:type="dxa"/>
                  <w:gridSpan w:val="2"/>
                </w:tcPr>
                <w:p w:rsidR="00A81263" w:rsidRPr="00A81263" w:rsidRDefault="00A81263" w:rsidP="00A81263">
                  <w:pPr>
                    <w:rPr>
                      <w:b/>
                    </w:rPr>
                  </w:pPr>
                  <w:r w:rsidRPr="00A81263">
                    <w:rPr>
                      <w:b/>
                    </w:rPr>
                    <w:t>Course: Pharmaceutical Technol</w:t>
                  </w:r>
                  <w:r w:rsidR="00BA5031">
                    <w:rPr>
                      <w:b/>
                    </w:rPr>
                    <w:t>o</w:t>
                  </w:r>
                  <w:r w:rsidRPr="00A81263">
                    <w:rPr>
                      <w:b/>
                    </w:rPr>
                    <w:t>gy (Full time) NPPHT</w:t>
                  </w:r>
                </w:p>
                <w:p w:rsidR="00A81263" w:rsidRPr="00A81263" w:rsidRDefault="00A81263" w:rsidP="00A81263"/>
              </w:tc>
            </w:tr>
            <w:tr w:rsidR="00A44846" w:rsidRPr="00A81263" w:rsidTr="00A81263">
              <w:tc>
                <w:tcPr>
                  <w:tcW w:w="6161" w:type="dxa"/>
                </w:tcPr>
                <w:p w:rsidR="00A44846" w:rsidRPr="00A81263" w:rsidRDefault="00A44846" w:rsidP="00A81263">
                  <w:pPr>
                    <w:spacing w:line="276" w:lineRule="auto"/>
                    <w:jc w:val="center"/>
                  </w:pPr>
                  <w:r w:rsidRPr="00A81263">
                    <w:t>Statistics and Quality Systems</w:t>
                  </w:r>
                </w:p>
                <w:p w:rsidR="00A44846" w:rsidRPr="00A81263" w:rsidRDefault="00A44846" w:rsidP="00A81263">
                  <w:pPr>
                    <w:spacing w:line="276" w:lineRule="auto"/>
                    <w:jc w:val="center"/>
                  </w:pPr>
                  <w:r w:rsidRPr="00A81263">
                    <w:t>CH7010</w:t>
                  </w:r>
                </w:p>
              </w:tc>
              <w:tc>
                <w:tcPr>
                  <w:tcW w:w="3081" w:type="dxa"/>
                  <w:vMerge w:val="restart"/>
                </w:tcPr>
                <w:p w:rsidR="00A44846" w:rsidRPr="00A81263" w:rsidRDefault="00A44846" w:rsidP="00A81263"/>
                <w:p w:rsidR="00A44846" w:rsidRPr="00A81263" w:rsidRDefault="00A44846" w:rsidP="00A81263">
                  <w:pPr>
                    <w:jc w:val="center"/>
                  </w:pPr>
                </w:p>
                <w:p w:rsidR="00A44846" w:rsidRPr="00A81263" w:rsidRDefault="00A44846" w:rsidP="00A81263">
                  <w:pPr>
                    <w:jc w:val="center"/>
                  </w:pPr>
                  <w:r w:rsidRPr="00A81263">
                    <w:t>Project module CH7100</w:t>
                  </w:r>
                </w:p>
                <w:p w:rsidR="00A44846" w:rsidRPr="00A81263" w:rsidRDefault="00A44846" w:rsidP="00A81263">
                  <w:pPr>
                    <w:jc w:val="center"/>
                  </w:pPr>
                  <w:r w:rsidRPr="00A81263">
                    <w:t>(60 credits)</w:t>
                  </w:r>
                </w:p>
                <w:p w:rsidR="00A44846" w:rsidRPr="00A81263" w:rsidRDefault="00A44846" w:rsidP="00A81263">
                  <w:pPr>
                    <w:jc w:val="center"/>
                  </w:pPr>
                </w:p>
              </w:tc>
            </w:tr>
            <w:tr w:rsidR="00A44846" w:rsidRPr="00A81263" w:rsidTr="00A81263">
              <w:tc>
                <w:tcPr>
                  <w:tcW w:w="6161" w:type="dxa"/>
                </w:tcPr>
                <w:p w:rsidR="00A44846" w:rsidRPr="00A81263" w:rsidRDefault="00A44846" w:rsidP="00A81263">
                  <w:pPr>
                    <w:jc w:val="center"/>
                    <w:rPr>
                      <w:i/>
                    </w:rPr>
                  </w:pPr>
                  <w:r w:rsidRPr="00A81263">
                    <w:t>Pharmaceutical and Analytical Technology</w:t>
                  </w:r>
                  <w:r w:rsidRPr="00A81263">
                    <w:rPr>
                      <w:i/>
                    </w:rPr>
                    <w:t xml:space="preserve"> </w:t>
                  </w:r>
                </w:p>
                <w:p w:rsidR="00A44846" w:rsidRPr="00A81263" w:rsidRDefault="00A44846" w:rsidP="00A81263">
                  <w:pPr>
                    <w:jc w:val="center"/>
                    <w:rPr>
                      <w:i/>
                    </w:rPr>
                  </w:pPr>
                  <w:r w:rsidRPr="00A81263">
                    <w:t>CH7050</w:t>
                  </w:r>
                </w:p>
              </w:tc>
              <w:tc>
                <w:tcPr>
                  <w:tcW w:w="3081" w:type="dxa"/>
                  <w:vMerge/>
                </w:tcPr>
                <w:p w:rsidR="00A44846" w:rsidRPr="00A81263" w:rsidRDefault="00A44846" w:rsidP="00A81263"/>
              </w:tc>
            </w:tr>
            <w:tr w:rsidR="00A44846" w:rsidRPr="00A81263" w:rsidTr="00A81263">
              <w:tc>
                <w:tcPr>
                  <w:tcW w:w="6161" w:type="dxa"/>
                </w:tcPr>
                <w:p w:rsidR="00A44846" w:rsidRPr="00A81263" w:rsidRDefault="00A44846" w:rsidP="00A81263">
                  <w:pPr>
                    <w:jc w:val="center"/>
                  </w:pPr>
                  <w:r w:rsidRPr="00A81263">
                    <w:t>Manufacture and Clinical Trials of Medicines</w:t>
                  </w:r>
                </w:p>
                <w:p w:rsidR="00A44846" w:rsidRPr="00A81263" w:rsidRDefault="00A44846" w:rsidP="00A81263">
                  <w:pPr>
                    <w:jc w:val="center"/>
                  </w:pPr>
                  <w:r w:rsidRPr="00A81263">
                    <w:t>CH7060</w:t>
                  </w:r>
                </w:p>
              </w:tc>
              <w:tc>
                <w:tcPr>
                  <w:tcW w:w="3081" w:type="dxa"/>
                  <w:vMerge/>
                </w:tcPr>
                <w:p w:rsidR="00A44846" w:rsidRPr="00A81263" w:rsidRDefault="00A44846" w:rsidP="00A81263"/>
              </w:tc>
            </w:tr>
            <w:tr w:rsidR="00A44846" w:rsidRPr="00A81263" w:rsidTr="00A81263">
              <w:tc>
                <w:tcPr>
                  <w:tcW w:w="6161" w:type="dxa"/>
                </w:tcPr>
                <w:p w:rsidR="00A44846" w:rsidRPr="00A81263" w:rsidRDefault="00A44846" w:rsidP="00A81263">
                  <w:pPr>
                    <w:jc w:val="center"/>
                  </w:pPr>
                  <w:r w:rsidRPr="00A81263">
                    <w:t xml:space="preserve">Advanced Pharmaceutical Technology and Formulation </w:t>
                  </w:r>
                </w:p>
                <w:p w:rsidR="00A44846" w:rsidRPr="00A81263" w:rsidRDefault="00A44846" w:rsidP="00A81263">
                  <w:pPr>
                    <w:jc w:val="center"/>
                  </w:pPr>
                  <w:r w:rsidRPr="00A81263">
                    <w:t>CH7090</w:t>
                  </w:r>
                </w:p>
              </w:tc>
              <w:tc>
                <w:tcPr>
                  <w:tcW w:w="3081" w:type="dxa"/>
                  <w:vMerge/>
                </w:tcPr>
                <w:p w:rsidR="00A44846" w:rsidRPr="00A81263" w:rsidRDefault="00A44846" w:rsidP="00A81263"/>
              </w:tc>
            </w:tr>
            <w:tr w:rsidR="00A44846" w:rsidRPr="00A81263" w:rsidTr="00A81263">
              <w:tc>
                <w:tcPr>
                  <w:tcW w:w="6161" w:type="dxa"/>
                </w:tcPr>
                <w:p w:rsidR="00A44846" w:rsidRDefault="00A44846" w:rsidP="00A81263">
                  <w:pPr>
                    <w:jc w:val="center"/>
                  </w:pPr>
                  <w:r>
                    <w:t xml:space="preserve">Professional Placement </w:t>
                  </w:r>
                </w:p>
                <w:p w:rsidR="00A44846" w:rsidRPr="00A81263" w:rsidRDefault="00A44846" w:rsidP="00A81263">
                  <w:pPr>
                    <w:jc w:val="center"/>
                  </w:pPr>
                  <w:r>
                    <w:t>CI7900</w:t>
                  </w:r>
                </w:p>
              </w:tc>
              <w:tc>
                <w:tcPr>
                  <w:tcW w:w="3081" w:type="dxa"/>
                  <w:vMerge/>
                </w:tcPr>
                <w:p w:rsidR="00A44846" w:rsidRPr="00A81263" w:rsidRDefault="00A44846" w:rsidP="00A81263"/>
              </w:tc>
            </w:tr>
          </w:tbl>
          <w:p w:rsidR="00A81263" w:rsidRPr="00A81263" w:rsidRDefault="00A81263" w:rsidP="00A81263">
            <w:pPr>
              <w:rPr>
                <w:rFonts w:cs="Arial"/>
                <w:sz w:val="20"/>
                <w:szCs w:val="20"/>
              </w:rPr>
            </w:pPr>
          </w:p>
          <w:p w:rsidR="00A81263" w:rsidRPr="00A81263" w:rsidRDefault="00A81263" w:rsidP="00A81263">
            <w:pPr>
              <w:rPr>
                <w:rFonts w:cs="Arial"/>
                <w:sz w:val="20"/>
                <w:szCs w:val="20"/>
              </w:rPr>
            </w:pPr>
            <w:r w:rsidRPr="00A81263">
              <w:rPr>
                <w:rFonts w:cs="Arial"/>
                <w:sz w:val="20"/>
                <w:szCs w:val="20"/>
              </w:rPr>
              <w:t>Students exiting the programme with 60 credits are eligible for the award of PGCert</w:t>
            </w:r>
          </w:p>
          <w:p w:rsidR="00A81263" w:rsidRPr="00A81263" w:rsidRDefault="00A81263" w:rsidP="00A81263">
            <w:pPr>
              <w:rPr>
                <w:rFonts w:cs="Arial"/>
                <w:sz w:val="20"/>
                <w:szCs w:val="20"/>
              </w:rPr>
            </w:pPr>
            <w:r w:rsidRPr="00A81263">
              <w:rPr>
                <w:rFonts w:cs="Arial"/>
                <w:sz w:val="20"/>
                <w:szCs w:val="20"/>
              </w:rPr>
              <w:t>Students exiting the programme with 120 credits are eligible for the award of PGDip</w:t>
            </w:r>
          </w:p>
          <w:p w:rsidR="00A81263" w:rsidRPr="00A81263" w:rsidRDefault="00A81263" w:rsidP="00A81263">
            <w:pPr>
              <w:rPr>
                <w:rFonts w:cs="Arial"/>
                <w:color w:val="FF0000"/>
                <w:sz w:val="20"/>
                <w:szCs w:val="20"/>
              </w:rPr>
            </w:pPr>
          </w:p>
        </w:tc>
      </w:tr>
    </w:tbl>
    <w:p w:rsidR="00A44846" w:rsidRPr="00A44846" w:rsidRDefault="00A44846" w:rsidP="00A44846">
      <w:pPr>
        <w:spacing w:after="200" w:line="276" w:lineRule="auto"/>
        <w:rPr>
          <w:rFonts w:ascii="Arial" w:eastAsiaTheme="minorHAnsi" w:hAnsi="Arial" w:cs="Arial"/>
        </w:rPr>
      </w:pPr>
      <w:r w:rsidRPr="00A44846">
        <w:rPr>
          <w:rFonts w:ascii="Arial" w:eastAsiaTheme="minorHAnsi" w:hAnsi="Arial" w:cs="Arial"/>
        </w:rPr>
        <w:t xml:space="preserve">Students starting the course in September will work on the placement for between 10 – 12 months, starting from June, before their dissertation. Those students must confirm their placement before 15 May. Students on courses with January intake will work on the placement for between 10 – 12 months, starting from February, after completing their dissertation. Students on this intake must confirm their placement before 20 December. In either case, the suitability of the placement requires approval of the Course Leader. </w:t>
      </w:r>
    </w:p>
    <w:p w:rsidR="00195F7B" w:rsidRPr="00A44846" w:rsidRDefault="00A44846" w:rsidP="00A44846">
      <w:pPr>
        <w:spacing w:after="200" w:line="276" w:lineRule="auto"/>
        <w:rPr>
          <w:rFonts w:ascii="Arial" w:eastAsiaTheme="minorHAnsi" w:hAnsi="Arial" w:cs="Arial"/>
        </w:rPr>
      </w:pPr>
      <w:r w:rsidRPr="00A44846">
        <w:rPr>
          <w:rFonts w:ascii="Arial" w:eastAsiaTheme="minorHAnsi" w:hAnsi="Arial" w:cs="Arial"/>
        </w:rPr>
        <w:t>Students on placement must complete a portfolio assessment which includes a reflection on how the theories they have learnt during their teaching year have helped them in their placement and demonstrate ability to apply their teaching in a real world situation</w:t>
      </w:r>
      <w:r>
        <w:rPr>
          <w:rFonts w:ascii="Arial" w:eastAsiaTheme="minorHAnsi" w:hAnsi="Arial" w:cs="Arial"/>
        </w:rPr>
        <w:t>.</w:t>
      </w: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rsidR="00195F7B" w:rsidRDefault="00195F7B" w:rsidP="00195F7B">
      <w:pPr>
        <w:rPr>
          <w:rFonts w:ascii="Arial" w:hAnsi="Arial" w:cs="Arial"/>
          <w:i/>
          <w:color w:val="FF0000"/>
          <w:szCs w:val="24"/>
        </w:rPr>
      </w:pPr>
    </w:p>
    <w:p w:rsidR="00A81263" w:rsidRPr="00A81263" w:rsidRDefault="00A81263" w:rsidP="00A81263">
      <w:pPr>
        <w:rPr>
          <w:rFonts w:ascii="Arial" w:hAnsi="Arial" w:cs="Arial"/>
          <w:szCs w:val="24"/>
        </w:rPr>
      </w:pPr>
      <w:r w:rsidRPr="00A81263">
        <w:rPr>
          <w:rFonts w:ascii="Arial" w:hAnsi="Arial" w:cs="Arial"/>
          <w:szCs w:val="24"/>
        </w:rPr>
        <w:lastRenderedPageBreak/>
        <w:t xml:space="preserve">This programme has been designed to take account of the KU Curriculum Design Principles. The course utilises a wide range of teaching and learning methods that will enable all students be actively engaged throughout the course. Teaching and learning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00A81263" w:rsidRPr="00A81263" w:rsidRDefault="00A81263" w:rsidP="00A81263">
      <w:pPr>
        <w:rPr>
          <w:rFonts w:ascii="Arial" w:hAnsi="Arial" w:cs="Arial"/>
          <w:szCs w:val="24"/>
        </w:rPr>
      </w:pPr>
      <w:r w:rsidRPr="00A81263">
        <w:rPr>
          <w:rFonts w:ascii="Arial" w:hAnsi="Arial" w:cs="Arial"/>
          <w:szCs w:val="24"/>
        </w:rPr>
        <w:t>A range of assessment methods will be used that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Students are supported by their allocated personal tutor, who will help students draw together the themes of the curriculum synoptically by discussing with them their Personal Development Plan. The development of academic skills is threaded throughout the course and assessed both formatively and summatively. Tutors test progress in the development of these skills, but also identify where students may need additional support, which may come via the Academic Skills Centre or other tailored support.</w:t>
      </w:r>
    </w:p>
    <w:p w:rsidR="00A81263" w:rsidRDefault="00A81263" w:rsidP="00A81263">
      <w:pPr>
        <w:rPr>
          <w:rFonts w:ascii="Arial" w:hAnsi="Arial" w:cs="Arial"/>
          <w:szCs w:val="24"/>
        </w:rPr>
      </w:pPr>
      <w:r w:rsidRPr="00A81263">
        <w:rPr>
          <w:rFonts w:ascii="Arial" w:hAnsi="Arial" w:cs="Arial"/>
          <w:szCs w:val="24"/>
        </w:rPr>
        <w:t>Most of the Course team are research active and regularly publish their work in respected journals. Many hold or have held important positions in the field and regularly attend national meetings e.g. Chair of Register of Analytical Chemists, President of South-East Region Analytical Division (SERAD), Hon. Secretary of Royal Society of Chemistry’s (RSC) Analytical Division, RSC Committee for Accreditation and Validation of Courses. Some are Fellows or Members of the RSC or RPSGB. Most have professional teaching qualifications e.g. PGCE(HE).</w:t>
      </w:r>
    </w:p>
    <w:p w:rsidR="00A81263" w:rsidRPr="0059721B" w:rsidRDefault="00A81263" w:rsidP="00A81263">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rsidR="00195F7B" w:rsidRPr="0059721B" w:rsidRDefault="00195F7B" w:rsidP="00195F7B">
      <w:pPr>
        <w:rPr>
          <w:rFonts w:ascii="Arial" w:hAnsi="Arial" w:cs="Arial"/>
          <w:b/>
          <w:szCs w:val="24"/>
        </w:rPr>
      </w:pPr>
    </w:p>
    <w:p w:rsidR="00A81263" w:rsidRPr="00A81263" w:rsidRDefault="00A81263" w:rsidP="00A81263">
      <w:pPr>
        <w:rPr>
          <w:rFonts w:ascii="Arial" w:hAnsi="Arial" w:cs="Arial"/>
        </w:rPr>
      </w:pPr>
      <w:r w:rsidRPr="00A81263">
        <w:rPr>
          <w:rFonts w:ascii="Arial" w:hAnsi="Arial" w:cs="Arial"/>
        </w:rPr>
        <w:t>Students are supported by:</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A Module Leader for each module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A Course Director to help students understand the programme structure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Personal Tutors to provide academic and personal support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A project “placement” tutor to give general advice on placements and visit students</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Technical support to advise students on IT and the use of software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A designated programme administrator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An induction week at the beginning of each new academic session. This includes an induction to the University, the School, Learning Resource Centre, the Graduate Centre, the </w:t>
      </w:r>
      <w:r w:rsidR="00BA5031">
        <w:rPr>
          <w:rFonts w:ascii="Arial" w:hAnsi="Arial" w:cs="Arial"/>
        </w:rPr>
        <w:t>Union of Kingston Students</w:t>
      </w:r>
      <w:r w:rsidRPr="00A81263">
        <w:rPr>
          <w:rFonts w:ascii="Arial" w:hAnsi="Arial" w:cs="Arial"/>
        </w:rPr>
        <w:t>, University and School pastoral support and ancillary services</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Staff Student Consultative Committee </w:t>
      </w:r>
    </w:p>
    <w:p w:rsidR="00A81263" w:rsidRPr="00A81263" w:rsidRDefault="00BA5031" w:rsidP="00A81263">
      <w:pPr>
        <w:numPr>
          <w:ilvl w:val="0"/>
          <w:numId w:val="10"/>
        </w:numPr>
        <w:spacing w:line="276" w:lineRule="auto"/>
        <w:rPr>
          <w:rFonts w:ascii="Arial" w:hAnsi="Arial" w:cs="Arial"/>
        </w:rPr>
      </w:pPr>
      <w:r>
        <w:rPr>
          <w:rFonts w:ascii="Arial" w:hAnsi="Arial" w:cs="Arial"/>
        </w:rPr>
        <w:t>Canvas</w:t>
      </w:r>
      <w:r w:rsidR="00A81263" w:rsidRPr="00A81263">
        <w:rPr>
          <w:rFonts w:ascii="Arial" w:hAnsi="Arial" w:cs="Arial"/>
        </w:rPr>
        <w:t xml:space="preserve"> – a versatile on-line interactive intranet an learning environment based on the Blackboard system</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The SEC Study Skills Centre that provides academic skills support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Student support facilities that provide advice on issues such as finance, regulations, legal matters, accommodation, international student support etc.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Disabled student support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The </w:t>
      </w:r>
      <w:r w:rsidR="00BA5031">
        <w:rPr>
          <w:rFonts w:ascii="Arial" w:hAnsi="Arial" w:cs="Arial"/>
        </w:rPr>
        <w:t xml:space="preserve">Union of Kingston Students </w:t>
      </w:r>
    </w:p>
    <w:p w:rsidR="00A81263" w:rsidRPr="00A81263" w:rsidRDefault="00A81263" w:rsidP="00A81263">
      <w:pPr>
        <w:numPr>
          <w:ilvl w:val="0"/>
          <w:numId w:val="10"/>
        </w:numPr>
        <w:spacing w:line="276" w:lineRule="auto"/>
        <w:rPr>
          <w:rFonts w:ascii="Arial" w:hAnsi="Arial" w:cs="Arial"/>
        </w:rPr>
      </w:pPr>
      <w:r w:rsidRPr="00A81263">
        <w:rPr>
          <w:rFonts w:ascii="Arial" w:hAnsi="Arial" w:cs="Arial"/>
        </w:rPr>
        <w:t xml:space="preserve">Careers and Employability Service </w:t>
      </w:r>
    </w:p>
    <w:p w:rsidR="00195F7B" w:rsidRPr="00A81263"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Ensuring and Enhancing the Quality of the Course</w:t>
      </w: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rsidR="00195F7B" w:rsidRPr="0059721B" w:rsidRDefault="00195F7B" w:rsidP="00195F7B">
      <w:pPr>
        <w:ind w:left="360"/>
        <w:rPr>
          <w:rFonts w:ascii="Arial" w:hAnsi="Arial" w:cs="Arial"/>
          <w:szCs w:val="24"/>
        </w:rPr>
      </w:pPr>
    </w:p>
    <w:p w:rsidR="00195F7B" w:rsidRPr="0059721B" w:rsidRDefault="00195F7B" w:rsidP="00410BEE">
      <w:pPr>
        <w:numPr>
          <w:ilvl w:val="0"/>
          <w:numId w:val="5"/>
        </w:numPr>
        <w:rPr>
          <w:rFonts w:ascii="Arial" w:hAnsi="Arial" w:cs="Arial"/>
          <w:szCs w:val="24"/>
        </w:rPr>
      </w:pPr>
      <w:r w:rsidRPr="0059721B">
        <w:rPr>
          <w:rFonts w:ascii="Arial" w:hAnsi="Arial" w:cs="Arial"/>
          <w:szCs w:val="24"/>
        </w:rPr>
        <w:t>External examiners</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Boards of study with student representation</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Annual review and development</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Periodic review undertaken at subject level</w:t>
      </w:r>
    </w:p>
    <w:p w:rsidR="00195F7B" w:rsidRPr="0059721B" w:rsidRDefault="00195F7B" w:rsidP="00410BEE">
      <w:pPr>
        <w:numPr>
          <w:ilvl w:val="0"/>
          <w:numId w:val="5"/>
        </w:numPr>
        <w:rPr>
          <w:rFonts w:ascii="Arial" w:hAnsi="Arial" w:cs="Arial"/>
          <w:szCs w:val="24"/>
        </w:rPr>
      </w:pPr>
      <w:r w:rsidRPr="0059721B">
        <w:rPr>
          <w:rFonts w:ascii="Arial" w:hAnsi="Arial" w:cs="Arial"/>
          <w:szCs w:val="24"/>
        </w:rPr>
        <w:t>Student evaluation</w:t>
      </w:r>
    </w:p>
    <w:p w:rsidR="00195F7B" w:rsidRDefault="00195F7B" w:rsidP="00410BEE">
      <w:pPr>
        <w:numPr>
          <w:ilvl w:val="0"/>
          <w:numId w:val="5"/>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rsidR="00A81263" w:rsidRDefault="00A81263" w:rsidP="00A81263">
      <w:pPr>
        <w:rPr>
          <w:rFonts w:ascii="Arial" w:hAnsi="Arial" w:cs="Arial"/>
          <w:szCs w:val="24"/>
        </w:rPr>
      </w:pPr>
    </w:p>
    <w:p w:rsidR="00A81263" w:rsidRPr="00A81263" w:rsidRDefault="00A81263" w:rsidP="00A81263">
      <w:pPr>
        <w:rPr>
          <w:rFonts w:ascii="Arial" w:hAnsi="Arial" w:cs="Arial"/>
          <w:szCs w:val="24"/>
        </w:rPr>
      </w:pPr>
    </w:p>
    <w:p w:rsidR="00195F7B" w:rsidRPr="0059721B" w:rsidRDefault="00A81263" w:rsidP="00A81263">
      <w:pPr>
        <w:rPr>
          <w:rFonts w:ascii="Arial" w:hAnsi="Arial" w:cs="Arial"/>
          <w:color w:val="FF0000"/>
          <w:szCs w:val="24"/>
        </w:rPr>
      </w:pPr>
      <w:r w:rsidRPr="00A81263">
        <w:rPr>
          <w:rFonts w:ascii="Arial" w:hAnsi="Arial" w:cs="Arial"/>
          <w:szCs w:val="24"/>
        </w:rPr>
        <w:t>The School of Pharmacy and Chemistry achieved the top category of “broad confidence” as a result of a Discipline Audit Trail (DAT) of Chemistry, which was a part of the Institutional Audit of Kingston University in 2005. In the 2010 Internal Subject Review of Pharmacy and Chemistry courses, the report evaluated the programmes as current and valid and commended the quality of the learning opportunities available to enhance the students’ experience.</w:t>
      </w: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rsidR="00A81263" w:rsidRPr="00A81263" w:rsidRDefault="00A81263" w:rsidP="00A81263">
      <w:pPr>
        <w:rPr>
          <w:rFonts w:ascii="Arial" w:hAnsi="Arial" w:cs="Arial"/>
          <w:i/>
          <w:color w:val="FF0000"/>
          <w:szCs w:val="24"/>
        </w:rPr>
      </w:pPr>
    </w:p>
    <w:p w:rsidR="00A81263" w:rsidRPr="00A81263" w:rsidRDefault="00A81263" w:rsidP="00A81263">
      <w:pPr>
        <w:rPr>
          <w:rFonts w:ascii="Arial" w:hAnsi="Arial" w:cs="Arial"/>
          <w:szCs w:val="24"/>
        </w:rPr>
      </w:pPr>
      <w:r w:rsidRPr="00A81263">
        <w:rPr>
          <w:rFonts w:ascii="Arial" w:hAnsi="Arial" w:cs="Arial"/>
          <w:szCs w:val="24"/>
        </w:rPr>
        <w:t xml:space="preserve">Recent Graduates of the </w:t>
      </w:r>
      <w:r w:rsidR="00BA5031">
        <w:rPr>
          <w:rFonts w:ascii="Arial" w:hAnsi="Arial" w:cs="Arial"/>
          <w:szCs w:val="24"/>
        </w:rPr>
        <w:t xml:space="preserve">related Pharmaceutical Science </w:t>
      </w:r>
      <w:r w:rsidRPr="00A81263">
        <w:rPr>
          <w:rFonts w:ascii="Arial" w:hAnsi="Arial" w:cs="Arial"/>
          <w:szCs w:val="24"/>
        </w:rPr>
        <w:t>MSc course found jobs in many areas including the pharmaceutical industry, pharmacy, contract research and teaching.  They perform a variety of roles including laboratory technical support, laboratory management, and may be expected to present evidence through reports.  There is a great student demand for this limited job market and for related degree courses.  There are a variety of other career paths for which the course would be a suitable introduction including environme</w:t>
      </w:r>
      <w:r w:rsidR="00BA5031">
        <w:rPr>
          <w:rFonts w:ascii="Arial" w:hAnsi="Arial" w:cs="Arial"/>
          <w:szCs w:val="24"/>
        </w:rPr>
        <w:t xml:space="preserve">ntal measurement laboratories, </w:t>
      </w:r>
      <w:r w:rsidRPr="00A81263">
        <w:rPr>
          <w:rFonts w:ascii="Arial" w:hAnsi="Arial" w:cs="Arial"/>
          <w:szCs w:val="24"/>
        </w:rPr>
        <w:t>insurance companies, occupational health and safety laboratories, industrial quality assurance laboratories, medicinal and scientific research laboratories.  The course would also prepare students for a PhD in a related discipline.</w:t>
      </w:r>
    </w:p>
    <w:p w:rsidR="00A81263" w:rsidRPr="00A81263" w:rsidRDefault="00A81263" w:rsidP="00A81263">
      <w:pPr>
        <w:rPr>
          <w:rFonts w:ascii="Arial" w:hAnsi="Arial" w:cs="Arial"/>
          <w:szCs w:val="24"/>
        </w:rPr>
      </w:pPr>
      <w:r w:rsidRPr="00A81263">
        <w:rPr>
          <w:rFonts w:ascii="Arial" w:hAnsi="Arial" w:cs="Arial"/>
          <w:szCs w:val="24"/>
        </w:rPr>
        <w:t>Recent surveys indicate most of our graduates finding employment/further education less than 6 months after graduation in many of the areas mentioned above.</w:t>
      </w:r>
    </w:p>
    <w:p w:rsidR="00195F7B" w:rsidRPr="0059721B" w:rsidRDefault="00195F7B" w:rsidP="00195F7B">
      <w:pPr>
        <w:rPr>
          <w:rFonts w:ascii="Arial" w:hAnsi="Arial" w:cs="Arial"/>
          <w:szCs w:val="24"/>
        </w:rPr>
      </w:pPr>
    </w:p>
    <w:p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Postgraduate Regulations </w:t>
      </w:r>
    </w:p>
    <w:p w:rsidR="00BA5031" w:rsidRDefault="00BA5031" w:rsidP="00BA5031">
      <w:pPr>
        <w:ind w:left="360"/>
        <w:rPr>
          <w:rFonts w:ascii="Arial" w:hAnsi="Arial" w:cs="Arial"/>
          <w:b/>
          <w:szCs w:val="24"/>
        </w:rPr>
      </w:pPr>
    </w:p>
    <w:p w:rsidR="00BA5031" w:rsidRPr="00BA5031" w:rsidRDefault="00BA5031" w:rsidP="00BA5031">
      <w:pPr>
        <w:ind w:left="360"/>
        <w:rPr>
          <w:rFonts w:ascii="Arial" w:hAnsi="Arial" w:cs="Arial"/>
          <w:szCs w:val="24"/>
        </w:rPr>
      </w:pPr>
      <w:r w:rsidRPr="00BA5031">
        <w:rPr>
          <w:rFonts w:ascii="Arial" w:hAnsi="Arial" w:cs="Arial"/>
          <w:szCs w:val="24"/>
        </w:rPr>
        <w:t>No approved variants from the PR</w:t>
      </w:r>
    </w:p>
    <w:p w:rsidR="00195F7B" w:rsidRPr="0059721B" w:rsidRDefault="00195F7B" w:rsidP="00195F7B">
      <w:pPr>
        <w:rPr>
          <w:rFonts w:ascii="Arial" w:hAnsi="Arial" w:cs="Arial"/>
          <w:b/>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rsidR="00A81263" w:rsidRDefault="00A81263" w:rsidP="00195F7B">
      <w:pPr>
        <w:ind w:left="360"/>
        <w:rPr>
          <w:rFonts w:ascii="Arial" w:hAnsi="Arial" w:cs="Arial"/>
          <w:i/>
          <w:color w:val="FF0000"/>
          <w:szCs w:val="24"/>
        </w:rPr>
      </w:pPr>
    </w:p>
    <w:p w:rsidR="00A81263" w:rsidRDefault="00A81263" w:rsidP="00195F7B">
      <w:pPr>
        <w:ind w:left="360"/>
        <w:rPr>
          <w:rFonts w:ascii="Arial" w:hAnsi="Arial" w:cs="Arial"/>
          <w:i/>
          <w:color w:val="FF0000"/>
          <w:szCs w:val="24"/>
        </w:rPr>
      </w:pPr>
    </w:p>
    <w:p w:rsidR="00A81263" w:rsidRDefault="00A81263" w:rsidP="00195F7B">
      <w:pPr>
        <w:ind w:left="360"/>
        <w:rPr>
          <w:rFonts w:ascii="Arial" w:hAnsi="Arial" w:cs="Arial"/>
          <w:i/>
          <w:color w:val="FF0000"/>
          <w:szCs w:val="24"/>
        </w:rPr>
      </w:pPr>
    </w:p>
    <w:p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r w:rsidRPr="00BA216C">
        <w:rPr>
          <w:rFonts w:ascii="Arial" w:hAnsi="Arial" w:cs="Arial"/>
          <w:i/>
          <w:color w:val="FF0000"/>
          <w:szCs w:val="24"/>
        </w:rPr>
        <w:t xml:space="preserve">  </w:t>
      </w:r>
    </w:p>
    <w:p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r w:rsidR="00165D50">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r w:rsidRPr="0059721B">
        <w:rPr>
          <w:rFonts w:ascii="Arial" w:hAnsi="Arial" w:cs="Arial"/>
          <w:szCs w:val="24"/>
        </w:rPr>
        <w:t>Include both core and option modules.</w:t>
      </w:r>
    </w:p>
    <w:p w:rsidR="00195F7B" w:rsidRPr="0059721B" w:rsidRDefault="00195F7B" w:rsidP="00195F7B">
      <w:pPr>
        <w:rPr>
          <w:rFonts w:ascii="Arial" w:hAnsi="Arial" w:cs="Arial"/>
          <w:szCs w:val="24"/>
        </w:rPr>
      </w:pPr>
    </w:p>
    <w:p w:rsidR="00A81263" w:rsidRPr="00A81263" w:rsidRDefault="00A81263" w:rsidP="00A81263">
      <w:pPr>
        <w:rPr>
          <w:rFonts w:cs="Arial"/>
        </w:rPr>
      </w:pP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16"/>
      </w:tblGrid>
      <w:tr w:rsidR="00A81263" w:rsidRPr="00A81263" w:rsidTr="00A81263">
        <w:trPr>
          <w:cantSplit/>
          <w:trHeight w:val="352"/>
        </w:trPr>
        <w:tc>
          <w:tcPr>
            <w:tcW w:w="534" w:type="dxa"/>
          </w:tcPr>
          <w:p w:rsidR="00A81263" w:rsidRPr="00A81263" w:rsidRDefault="00A81263" w:rsidP="00A81263">
            <w:pPr>
              <w:rPr>
                <w:rFonts w:cs="Arial"/>
                <w:b/>
                <w:sz w:val="20"/>
                <w:szCs w:val="20"/>
              </w:rPr>
            </w:pPr>
          </w:p>
        </w:tc>
        <w:tc>
          <w:tcPr>
            <w:tcW w:w="2976" w:type="dxa"/>
            <w:tcBorders>
              <w:bottom w:val="single" w:sz="4" w:space="0" w:color="auto"/>
            </w:tcBorders>
          </w:tcPr>
          <w:p w:rsidR="00A81263" w:rsidRPr="00A81263" w:rsidRDefault="00A81263" w:rsidP="00A81263">
            <w:pPr>
              <w:rPr>
                <w:rFonts w:cs="Arial"/>
                <w:b/>
                <w:sz w:val="20"/>
                <w:szCs w:val="20"/>
              </w:rPr>
            </w:pPr>
          </w:p>
        </w:tc>
        <w:tc>
          <w:tcPr>
            <w:tcW w:w="567" w:type="dxa"/>
            <w:tcBorders>
              <w:left w:val="nil"/>
              <w:bottom w:val="single" w:sz="4" w:space="0" w:color="auto"/>
              <w:right w:val="single" w:sz="4" w:space="0" w:color="auto"/>
            </w:tcBorders>
          </w:tcPr>
          <w:p w:rsidR="00A81263" w:rsidRPr="00A81263" w:rsidRDefault="00A81263" w:rsidP="00A81263">
            <w:pPr>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jc w:val="center"/>
              <w:rPr>
                <w:rFonts w:cs="Arial"/>
                <w:b/>
                <w:sz w:val="20"/>
                <w:szCs w:val="20"/>
              </w:rPr>
            </w:pPr>
            <w:r w:rsidRPr="00A81263">
              <w:rPr>
                <w:rFonts w:cs="Arial"/>
                <w:b/>
                <w:sz w:val="20"/>
                <w:szCs w:val="20"/>
              </w:rPr>
              <w:t>PG Diploma</w:t>
            </w:r>
          </w:p>
        </w:tc>
        <w:tc>
          <w:tcPr>
            <w:tcW w:w="582" w:type="dxa"/>
            <w:gridSpan w:val="2"/>
            <w:tcBorders>
              <w:top w:val="single" w:sz="4" w:space="0" w:color="auto"/>
              <w:left w:val="single" w:sz="4" w:space="0" w:color="auto"/>
              <w:bottom w:val="single" w:sz="4" w:space="0" w:color="auto"/>
              <w:right w:val="single" w:sz="4" w:space="0" w:color="auto"/>
            </w:tcBorders>
            <w:shd w:val="clear" w:color="auto" w:fill="DBE5F1"/>
          </w:tcPr>
          <w:p w:rsidR="00A81263" w:rsidRPr="00A81263" w:rsidRDefault="00A81263" w:rsidP="00A81263">
            <w:pPr>
              <w:jc w:val="center"/>
              <w:rPr>
                <w:rFonts w:cs="Arial"/>
                <w:b/>
                <w:sz w:val="20"/>
                <w:szCs w:val="20"/>
              </w:rPr>
            </w:pPr>
            <w:r w:rsidRPr="00A81263">
              <w:rPr>
                <w:rFonts w:cs="Arial"/>
                <w:b/>
                <w:sz w:val="20"/>
                <w:szCs w:val="20"/>
              </w:rPr>
              <w:t>MSc</w:t>
            </w:r>
          </w:p>
        </w:tc>
      </w:tr>
      <w:tr w:rsidR="00A81263" w:rsidRPr="00A81263" w:rsidTr="00A81263">
        <w:trPr>
          <w:gridAfter w:val="1"/>
          <w:wAfter w:w="16" w:type="dxa"/>
          <w:cantSplit/>
          <w:trHeight w:val="1278"/>
        </w:trPr>
        <w:tc>
          <w:tcPr>
            <w:tcW w:w="534" w:type="dxa"/>
            <w:tcBorders>
              <w:bottom w:val="single" w:sz="4" w:space="0" w:color="auto"/>
              <w:right w:val="single" w:sz="4" w:space="0" w:color="auto"/>
            </w:tcBorders>
          </w:tcPr>
          <w:p w:rsidR="00A81263" w:rsidRPr="00A81263" w:rsidRDefault="00A81263" w:rsidP="00A81263">
            <w:pPr>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A81263" w:rsidRPr="00A81263" w:rsidRDefault="00A81263" w:rsidP="00A81263">
            <w:pPr>
              <w:rPr>
                <w:rFonts w:cs="Arial"/>
                <w:b/>
                <w:sz w:val="20"/>
                <w:szCs w:val="20"/>
              </w:rPr>
            </w:pPr>
            <w:r w:rsidRPr="00A81263">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CH7010</w:t>
            </w:r>
          </w:p>
        </w:tc>
        <w:tc>
          <w:tcPr>
            <w:tcW w:w="563"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CH7050</w:t>
            </w:r>
          </w:p>
        </w:tc>
        <w:tc>
          <w:tcPr>
            <w:tcW w:w="562"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CH7060</w:t>
            </w:r>
          </w:p>
        </w:tc>
        <w:tc>
          <w:tcPr>
            <w:tcW w:w="566"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CH7090</w:t>
            </w:r>
          </w:p>
        </w:tc>
        <w:tc>
          <w:tcPr>
            <w:tcW w:w="566" w:type="dxa"/>
            <w:tcBorders>
              <w:top w:val="single" w:sz="4" w:space="0" w:color="auto"/>
              <w:left w:val="single" w:sz="4" w:space="0" w:color="auto"/>
              <w:bottom w:val="single" w:sz="4" w:space="0" w:color="auto"/>
              <w:right w:val="single" w:sz="4" w:space="0" w:color="auto"/>
            </w:tcBorders>
            <w:textDirection w:val="btLr"/>
          </w:tcPr>
          <w:p w:rsidR="00A81263" w:rsidRPr="00A81263" w:rsidRDefault="00A81263" w:rsidP="00A81263">
            <w:pPr>
              <w:ind w:left="113" w:right="113"/>
              <w:rPr>
                <w:rFonts w:cs="Arial"/>
                <w:sz w:val="20"/>
                <w:szCs w:val="20"/>
              </w:rPr>
            </w:pPr>
            <w:r w:rsidRPr="00A81263">
              <w:rPr>
                <w:rFonts w:cs="Arial"/>
                <w:sz w:val="20"/>
                <w:szCs w:val="20"/>
              </w:rPr>
              <w:t>CH7100</w:t>
            </w:r>
          </w:p>
        </w:tc>
      </w:tr>
      <w:tr w:rsidR="00A81263" w:rsidRPr="00A81263" w:rsidTr="00A81263">
        <w:trPr>
          <w:gridAfter w:val="1"/>
          <w:wAfter w:w="16"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A81263" w:rsidRPr="00A81263" w:rsidRDefault="00A81263" w:rsidP="00A81263">
            <w:pPr>
              <w:ind w:left="113" w:right="113"/>
              <w:jc w:val="center"/>
              <w:rPr>
                <w:rFonts w:cs="Arial"/>
                <w:sz w:val="20"/>
                <w:szCs w:val="20"/>
              </w:rPr>
            </w:pPr>
            <w:r w:rsidRPr="00A81263">
              <w:rPr>
                <w:rFonts w:cs="Arial"/>
                <w:b/>
                <w:sz w:val="20"/>
                <w:szCs w:val="20"/>
              </w:rPr>
              <w:t>Programme Learning Outcomes</w:t>
            </w:r>
          </w:p>
        </w:tc>
        <w:tc>
          <w:tcPr>
            <w:tcW w:w="2976" w:type="dxa"/>
            <w:vMerge w:val="restart"/>
            <w:tcBorders>
              <w:top w:val="single" w:sz="4" w:space="0" w:color="auto"/>
              <w:left w:val="single" w:sz="4" w:space="0" w:color="auto"/>
              <w:right w:val="single" w:sz="4" w:space="0" w:color="auto"/>
            </w:tcBorders>
          </w:tcPr>
          <w:p w:rsidR="00A81263" w:rsidRPr="00A81263" w:rsidRDefault="00A81263" w:rsidP="00A81263">
            <w:pPr>
              <w:rPr>
                <w:rFonts w:cs="Arial"/>
                <w:b/>
                <w:sz w:val="20"/>
                <w:szCs w:val="20"/>
              </w:rPr>
            </w:pPr>
            <w:r w:rsidRPr="00A81263">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A7</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r w:rsidRPr="00A81263">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r w:rsidRPr="00A81263">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r w:rsidRPr="00A81263">
              <w:rPr>
                <w:rFonts w:cs="Arial"/>
                <w:b/>
                <w:sz w:val="20"/>
                <w:szCs w:val="20"/>
              </w:rPr>
              <w:t>Transferable Skills</w:t>
            </w: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spacing w:line="276" w:lineRule="auto"/>
              <w:rPr>
                <w:sz w:val="20"/>
                <w:szCs w:val="20"/>
              </w:rPr>
            </w:pPr>
            <w:r w:rsidRPr="00A81263">
              <w:rPr>
                <w:sz w:val="20"/>
                <w:szCs w:val="20"/>
              </w:rPr>
              <w:t>F/S</w:t>
            </w: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r w:rsidR="00A81263" w:rsidRPr="00A81263" w:rsidTr="00A81263">
        <w:trPr>
          <w:gridAfter w:val="1"/>
          <w:wAfter w:w="16" w:type="dxa"/>
        </w:trPr>
        <w:tc>
          <w:tcPr>
            <w:tcW w:w="534" w:type="dxa"/>
            <w:vMerge/>
            <w:tcBorders>
              <w:top w:val="single" w:sz="4" w:space="0" w:color="auto"/>
              <w:left w:val="single" w:sz="4" w:space="0" w:color="auto"/>
              <w:right w:val="single" w:sz="4" w:space="0" w:color="auto"/>
            </w:tcBorders>
            <w:shd w:val="clear" w:color="auto" w:fill="DBE5F1"/>
          </w:tcPr>
          <w:p w:rsidR="00A81263" w:rsidRPr="00A81263" w:rsidRDefault="00A81263" w:rsidP="00A81263">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GK3</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rsidR="00A81263" w:rsidRPr="00A81263" w:rsidRDefault="00A81263" w:rsidP="00A81263">
            <w:pPr>
              <w:rPr>
                <w:rFonts w:cs="Arial"/>
                <w:sz w:val="20"/>
                <w:szCs w:val="20"/>
              </w:rPr>
            </w:pPr>
            <w:r w:rsidRPr="00A81263">
              <w:rPr>
                <w:rFonts w:cs="Arial"/>
                <w:sz w:val="20"/>
                <w:szCs w:val="20"/>
              </w:rPr>
              <w:t>F/S</w:t>
            </w:r>
          </w:p>
        </w:tc>
      </w:tr>
    </w:tbl>
    <w:p w:rsidR="00A81263" w:rsidRPr="00A81263" w:rsidRDefault="00A81263" w:rsidP="00A81263">
      <w:pPr>
        <w:rPr>
          <w:rFonts w:ascii="Arial" w:hAnsi="Arial" w:cs="Arial"/>
        </w:rPr>
      </w:pPr>
    </w:p>
    <w:p w:rsidR="00A81263" w:rsidRPr="00A81263" w:rsidRDefault="00A81263" w:rsidP="00A81263">
      <w:pPr>
        <w:tabs>
          <w:tab w:val="left" w:pos="426"/>
        </w:tabs>
        <w:rPr>
          <w:rFonts w:ascii="Arial" w:hAnsi="Arial" w:cs="Arial"/>
        </w:rPr>
      </w:pPr>
      <w:r w:rsidRPr="00A81263">
        <w:rPr>
          <w:rFonts w:ascii="Arial" w:hAnsi="Arial" w:cs="Arial"/>
          <w:b/>
        </w:rPr>
        <w:t xml:space="preserve">S </w:t>
      </w:r>
      <w:r w:rsidRPr="00A81263">
        <w:rPr>
          <w:rFonts w:ascii="Arial" w:hAnsi="Arial" w:cs="Arial"/>
        </w:rPr>
        <w:tab/>
        <w:t xml:space="preserve">indicates where a summative assessment occurs.  </w:t>
      </w:r>
    </w:p>
    <w:p w:rsidR="00165D50" w:rsidRDefault="00A81263" w:rsidP="00B55A8F">
      <w:pPr>
        <w:tabs>
          <w:tab w:val="left" w:pos="426"/>
        </w:tabs>
        <w:rPr>
          <w:rFonts w:ascii="Arial" w:hAnsi="Arial" w:cs="Arial"/>
          <w:szCs w:val="24"/>
        </w:rPr>
      </w:pPr>
      <w:r w:rsidRPr="00A81263">
        <w:rPr>
          <w:rFonts w:ascii="Arial" w:hAnsi="Arial" w:cs="Arial"/>
          <w:b/>
        </w:rPr>
        <w:t>F</w:t>
      </w:r>
      <w:r w:rsidRPr="00A81263">
        <w:rPr>
          <w:rFonts w:ascii="Arial" w:hAnsi="Arial" w:cs="Arial"/>
        </w:rPr>
        <w:tab/>
        <w:t xml:space="preserve">where formative assessment/feedback occurs.  </w:t>
      </w:r>
    </w:p>
    <w:p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Final Award(s):</w:t>
            </w:r>
          </w:p>
          <w:p w:rsidR="00355C37" w:rsidRPr="00355C37" w:rsidRDefault="00355C37" w:rsidP="004316D7">
            <w:pPr>
              <w:rPr>
                <w:rFonts w:ascii="Arial" w:hAnsi="Arial" w:cs="Arial"/>
                <w:b/>
              </w:rPr>
            </w:pPr>
          </w:p>
        </w:tc>
        <w:tc>
          <w:tcPr>
            <w:tcW w:w="5306" w:type="dxa"/>
          </w:tcPr>
          <w:p w:rsidR="00355C37" w:rsidRPr="00355C37" w:rsidRDefault="00355C37" w:rsidP="004316D7">
            <w:pPr>
              <w:rPr>
                <w:rFonts w:ascii="Arial" w:hAnsi="Arial" w:cs="Arial"/>
              </w:rPr>
            </w:pPr>
            <w:r w:rsidRPr="00355C37">
              <w:rPr>
                <w:rFonts w:ascii="Arial" w:hAnsi="Arial" w:cs="Arial"/>
              </w:rPr>
              <w:t>MSc Pharmaceutical Technology</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Intermediate Award(s):</w:t>
            </w:r>
          </w:p>
          <w:p w:rsidR="00355C37" w:rsidRPr="00355C37" w:rsidRDefault="00355C37" w:rsidP="004316D7">
            <w:pPr>
              <w:rPr>
                <w:rFonts w:ascii="Arial" w:hAnsi="Arial" w:cs="Arial"/>
                <w:b/>
              </w:rPr>
            </w:pPr>
          </w:p>
        </w:tc>
        <w:tc>
          <w:tcPr>
            <w:tcW w:w="5306" w:type="dxa"/>
          </w:tcPr>
          <w:p w:rsidR="00355C37" w:rsidRPr="00355C37" w:rsidRDefault="00355C37" w:rsidP="00355C37">
            <w:pPr>
              <w:rPr>
                <w:rFonts w:ascii="Arial" w:hAnsi="Arial" w:cs="Arial"/>
              </w:rPr>
            </w:pPr>
            <w:r>
              <w:rPr>
                <w:rFonts w:ascii="Arial" w:hAnsi="Arial" w:cs="Arial"/>
              </w:rPr>
              <w:t>PGDiploma</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Minimum period of registration:</w:t>
            </w:r>
          </w:p>
        </w:tc>
        <w:tc>
          <w:tcPr>
            <w:tcW w:w="5306" w:type="dxa"/>
          </w:tcPr>
          <w:p w:rsidR="00355C37" w:rsidRPr="00355C37" w:rsidRDefault="00355C37" w:rsidP="004316D7">
            <w:pPr>
              <w:rPr>
                <w:rFonts w:ascii="Arial" w:hAnsi="Arial" w:cs="Arial"/>
              </w:rPr>
            </w:pPr>
            <w:r w:rsidRPr="00355C37">
              <w:rPr>
                <w:rFonts w:ascii="Arial" w:hAnsi="Arial" w:cs="Arial"/>
              </w:rPr>
              <w:t>1 year</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Maximum period of registration:</w:t>
            </w:r>
          </w:p>
        </w:tc>
        <w:tc>
          <w:tcPr>
            <w:tcW w:w="5306" w:type="dxa"/>
          </w:tcPr>
          <w:p w:rsidR="00355C37" w:rsidRPr="00355C37" w:rsidRDefault="00355C37" w:rsidP="004316D7">
            <w:pPr>
              <w:rPr>
                <w:rFonts w:ascii="Arial" w:hAnsi="Arial" w:cs="Arial"/>
              </w:rPr>
            </w:pPr>
            <w:r w:rsidRPr="00355C37">
              <w:rPr>
                <w:rFonts w:ascii="Arial" w:hAnsi="Arial" w:cs="Arial"/>
              </w:rPr>
              <w:t>2 years</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FHEQ Level for the Final Award:</w:t>
            </w:r>
          </w:p>
          <w:p w:rsidR="00355C37" w:rsidRPr="00355C37" w:rsidRDefault="00355C37" w:rsidP="004316D7">
            <w:pPr>
              <w:rPr>
                <w:rFonts w:ascii="Arial" w:hAnsi="Arial" w:cs="Arial"/>
                <w:b/>
              </w:rPr>
            </w:pPr>
          </w:p>
        </w:tc>
        <w:tc>
          <w:tcPr>
            <w:tcW w:w="5306" w:type="dxa"/>
          </w:tcPr>
          <w:p w:rsidR="00355C37" w:rsidRPr="00355C37" w:rsidRDefault="00355C37" w:rsidP="004316D7">
            <w:pPr>
              <w:rPr>
                <w:rFonts w:ascii="Arial" w:hAnsi="Arial" w:cs="Arial"/>
              </w:rPr>
            </w:pPr>
            <w:r w:rsidRPr="00355C37">
              <w:rPr>
                <w:rFonts w:ascii="Arial" w:hAnsi="Arial" w:cs="Arial"/>
              </w:rPr>
              <w:t>7</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QAA Subject Benchmark:</w:t>
            </w:r>
          </w:p>
        </w:tc>
        <w:tc>
          <w:tcPr>
            <w:tcW w:w="5306" w:type="dxa"/>
          </w:tcPr>
          <w:p w:rsidR="00355C37" w:rsidRPr="00355C37" w:rsidRDefault="00355C37" w:rsidP="004316D7">
            <w:pPr>
              <w:rPr>
                <w:rFonts w:ascii="Arial" w:hAnsi="Arial" w:cs="Arial"/>
              </w:rPr>
            </w:pPr>
            <w:r w:rsidRPr="00355C37">
              <w:rPr>
                <w:rFonts w:ascii="Arial" w:hAnsi="Arial" w:cs="Arial"/>
              </w:rPr>
              <w:t>N/A</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Modes of Delivery:</w:t>
            </w:r>
          </w:p>
        </w:tc>
        <w:tc>
          <w:tcPr>
            <w:tcW w:w="5306" w:type="dxa"/>
          </w:tcPr>
          <w:p w:rsidR="00355C37" w:rsidRPr="00355C37" w:rsidRDefault="00355C37" w:rsidP="004316D7">
            <w:pPr>
              <w:rPr>
                <w:rFonts w:ascii="Arial" w:hAnsi="Arial" w:cs="Arial"/>
              </w:rPr>
            </w:pPr>
            <w:r w:rsidRPr="00355C37">
              <w:rPr>
                <w:rFonts w:ascii="Arial" w:hAnsi="Arial" w:cs="Arial"/>
              </w:rPr>
              <w:t>FT</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Language of Delivery:</w:t>
            </w:r>
          </w:p>
        </w:tc>
        <w:tc>
          <w:tcPr>
            <w:tcW w:w="5306" w:type="dxa"/>
          </w:tcPr>
          <w:p w:rsidR="00355C37" w:rsidRPr="00355C37" w:rsidRDefault="00355C37" w:rsidP="004316D7">
            <w:pPr>
              <w:rPr>
                <w:rFonts w:ascii="Arial" w:hAnsi="Arial" w:cs="Arial"/>
              </w:rPr>
            </w:pPr>
            <w:r w:rsidRPr="00355C37">
              <w:rPr>
                <w:rFonts w:ascii="Arial" w:hAnsi="Arial" w:cs="Arial"/>
              </w:rPr>
              <w:t>English</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Faculty:</w:t>
            </w:r>
          </w:p>
        </w:tc>
        <w:tc>
          <w:tcPr>
            <w:tcW w:w="5306" w:type="dxa"/>
          </w:tcPr>
          <w:p w:rsidR="00355C37" w:rsidRPr="00355C37" w:rsidRDefault="00355C37" w:rsidP="004316D7">
            <w:pPr>
              <w:rPr>
                <w:rFonts w:ascii="Arial" w:hAnsi="Arial" w:cs="Arial"/>
              </w:rPr>
            </w:pPr>
            <w:r w:rsidRPr="00355C37">
              <w:rPr>
                <w:rFonts w:ascii="Arial" w:hAnsi="Arial" w:cs="Arial"/>
              </w:rPr>
              <w:t>SEC</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School:</w:t>
            </w:r>
          </w:p>
        </w:tc>
        <w:tc>
          <w:tcPr>
            <w:tcW w:w="5306" w:type="dxa"/>
          </w:tcPr>
          <w:p w:rsidR="00355C37" w:rsidRPr="00355C37" w:rsidRDefault="00355C37" w:rsidP="004316D7">
            <w:pPr>
              <w:rPr>
                <w:rFonts w:ascii="Arial" w:hAnsi="Arial" w:cs="Arial"/>
              </w:rPr>
            </w:pPr>
            <w:r w:rsidRPr="00355C37">
              <w:rPr>
                <w:rFonts w:ascii="Arial" w:hAnsi="Arial" w:cs="Arial"/>
              </w:rPr>
              <w:t>Pharmacy and Chemistry</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JACS code:</w:t>
            </w:r>
          </w:p>
        </w:tc>
        <w:tc>
          <w:tcPr>
            <w:tcW w:w="5306" w:type="dxa"/>
          </w:tcPr>
          <w:p w:rsidR="00355C37" w:rsidRPr="00355C37" w:rsidRDefault="00355C37" w:rsidP="004316D7">
            <w:pPr>
              <w:rPr>
                <w:rFonts w:ascii="Arial" w:hAnsi="Arial" w:cs="Arial"/>
              </w:rPr>
            </w:pPr>
            <w:r w:rsidRPr="00355C37">
              <w:rPr>
                <w:rFonts w:ascii="Arial" w:hAnsi="Arial" w:cs="Arial"/>
              </w:rPr>
              <w:t>B900 Subjects Allied to Medicine</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UCAS Code:</w:t>
            </w:r>
          </w:p>
        </w:tc>
        <w:tc>
          <w:tcPr>
            <w:tcW w:w="5306" w:type="dxa"/>
          </w:tcPr>
          <w:p w:rsidR="00355C37" w:rsidRPr="00355C37" w:rsidRDefault="00355C37" w:rsidP="004316D7">
            <w:pPr>
              <w:rPr>
                <w:rFonts w:ascii="Arial" w:hAnsi="Arial" w:cs="Arial"/>
              </w:rPr>
            </w:pP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Course Code:</w:t>
            </w:r>
          </w:p>
        </w:tc>
        <w:tc>
          <w:tcPr>
            <w:tcW w:w="5306" w:type="dxa"/>
          </w:tcPr>
          <w:p w:rsidR="00355C37" w:rsidRPr="00355C37" w:rsidRDefault="00355C37" w:rsidP="004316D7">
            <w:pPr>
              <w:rPr>
                <w:rFonts w:ascii="Arial" w:hAnsi="Arial" w:cs="Arial"/>
              </w:rPr>
            </w:pPr>
            <w:r w:rsidRPr="00355C37">
              <w:rPr>
                <w:rFonts w:ascii="Arial" w:hAnsi="Arial" w:cs="Arial"/>
              </w:rPr>
              <w:t>NPPHT</w:t>
            </w:r>
          </w:p>
        </w:tc>
      </w:tr>
      <w:tr w:rsidR="00355C37" w:rsidRPr="00355C37" w:rsidTr="00BA216C">
        <w:tc>
          <w:tcPr>
            <w:tcW w:w="3936" w:type="dxa"/>
          </w:tcPr>
          <w:p w:rsidR="00355C37" w:rsidRPr="00355C37" w:rsidRDefault="00355C37" w:rsidP="004316D7">
            <w:pPr>
              <w:rPr>
                <w:rFonts w:ascii="Arial" w:hAnsi="Arial" w:cs="Arial"/>
                <w:b/>
              </w:rPr>
            </w:pPr>
            <w:r w:rsidRPr="00355C37">
              <w:rPr>
                <w:rFonts w:ascii="Arial" w:hAnsi="Arial" w:cs="Arial"/>
                <w:b/>
              </w:rPr>
              <w:t>Route Code:</w:t>
            </w:r>
          </w:p>
        </w:tc>
        <w:tc>
          <w:tcPr>
            <w:tcW w:w="5306" w:type="dxa"/>
          </w:tcPr>
          <w:p w:rsidR="00355C37" w:rsidRPr="00355C37" w:rsidRDefault="00355C37" w:rsidP="004316D7">
            <w:pPr>
              <w:rPr>
                <w:rFonts w:ascii="Arial" w:hAnsi="Arial" w:cs="Arial"/>
                <w:i/>
              </w:rPr>
            </w:pPr>
          </w:p>
        </w:tc>
      </w:tr>
      <w:tr w:rsidR="00355C37" w:rsidRPr="00355C37" w:rsidTr="00BA216C">
        <w:tc>
          <w:tcPr>
            <w:tcW w:w="3936" w:type="dxa"/>
          </w:tcPr>
          <w:p w:rsidR="00355C37" w:rsidRPr="00355C37" w:rsidRDefault="00355C37" w:rsidP="004316D7">
            <w:pPr>
              <w:rPr>
                <w:rFonts w:ascii="Arial" w:hAnsi="Arial" w:cs="Arial"/>
                <w:b/>
              </w:rPr>
            </w:pPr>
          </w:p>
        </w:tc>
        <w:tc>
          <w:tcPr>
            <w:tcW w:w="5306" w:type="dxa"/>
          </w:tcPr>
          <w:p w:rsidR="00355C37" w:rsidRPr="00355C37" w:rsidRDefault="00355C37" w:rsidP="004316D7">
            <w:pPr>
              <w:rPr>
                <w:rFonts w:ascii="Arial" w:hAnsi="Arial" w:cs="Arial"/>
                <w:i/>
              </w:rPr>
            </w:pPr>
          </w:p>
        </w:tc>
      </w:tr>
    </w:tbl>
    <w:p w:rsidR="00195F7B" w:rsidRPr="0059721B" w:rsidRDefault="00195F7B" w:rsidP="00195F7B"/>
    <w:p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4A2" w:rsidRDefault="00C004A2" w:rsidP="00C16E1D">
      <w:r>
        <w:separator/>
      </w:r>
    </w:p>
  </w:endnote>
  <w:endnote w:type="continuationSeparator" w:id="0">
    <w:p w:rsidR="00C004A2" w:rsidRDefault="00C004A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263" w:rsidRDefault="00BA5031"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00A81263" w:rsidRPr="009D2840">
      <w:rPr>
        <w:rFonts w:ascii="Arial" w:hAnsi="Arial" w:cs="Arial"/>
        <w:sz w:val="16"/>
        <w:szCs w:val="16"/>
      </w:rPr>
      <w:tab/>
    </w:r>
    <w:r w:rsidR="00A81263">
      <w:rPr>
        <w:rFonts w:ascii="Arial" w:hAnsi="Arial" w:cs="Arial"/>
        <w:sz w:val="16"/>
        <w:szCs w:val="16"/>
      </w:rPr>
      <w:t xml:space="preserve">           </w:t>
    </w:r>
    <w:r w:rsidR="00A81263" w:rsidRPr="009D2840">
      <w:rPr>
        <w:rFonts w:ascii="Arial" w:hAnsi="Arial" w:cs="Arial"/>
        <w:sz w:val="16"/>
        <w:szCs w:val="16"/>
      </w:rPr>
      <w:t>201</w:t>
    </w:r>
    <w:r>
      <w:rPr>
        <w:rFonts w:ascii="Arial" w:hAnsi="Arial" w:cs="Arial"/>
        <w:sz w:val="16"/>
        <w:szCs w:val="16"/>
      </w:rPr>
      <w:t>7-2018 (v.1, Nov 17)</w:t>
    </w:r>
    <w:r w:rsidR="00A81263">
      <w:rPr>
        <w:rFonts w:ascii="Arial" w:hAnsi="Arial" w:cs="Arial"/>
        <w:sz w:val="16"/>
        <w:szCs w:val="16"/>
      </w:rPr>
      <w:t xml:space="preserve"> </w:t>
    </w:r>
    <w:r w:rsidR="00A81263">
      <w:rPr>
        <w:rFonts w:ascii="Arial" w:hAnsi="Arial" w:cs="Arial"/>
        <w:sz w:val="16"/>
        <w:szCs w:val="16"/>
      </w:rPr>
      <w:tab/>
      <w:t xml:space="preserve">  </w:t>
    </w:r>
    <w:r w:rsidR="00A81263" w:rsidRPr="009D2840">
      <w:rPr>
        <w:rFonts w:ascii="Arial" w:hAnsi="Arial" w:cs="Arial"/>
        <w:sz w:val="16"/>
        <w:szCs w:val="16"/>
      </w:rPr>
      <w:t xml:space="preserve">Page </w:t>
    </w:r>
    <w:r w:rsidR="00A81263" w:rsidRPr="009D2840">
      <w:rPr>
        <w:rFonts w:ascii="Arial" w:hAnsi="Arial" w:cs="Arial"/>
        <w:b/>
        <w:sz w:val="16"/>
        <w:szCs w:val="16"/>
      </w:rPr>
      <w:fldChar w:fldCharType="begin"/>
    </w:r>
    <w:r w:rsidR="00A81263" w:rsidRPr="009D2840">
      <w:rPr>
        <w:rFonts w:ascii="Arial" w:hAnsi="Arial" w:cs="Arial"/>
        <w:b/>
        <w:sz w:val="16"/>
        <w:szCs w:val="16"/>
      </w:rPr>
      <w:instrText xml:space="preserve"> PAGE </w:instrText>
    </w:r>
    <w:r w:rsidR="00A81263" w:rsidRPr="009D2840">
      <w:rPr>
        <w:rFonts w:ascii="Arial" w:hAnsi="Arial" w:cs="Arial"/>
        <w:b/>
        <w:sz w:val="16"/>
        <w:szCs w:val="16"/>
      </w:rPr>
      <w:fldChar w:fldCharType="separate"/>
    </w:r>
    <w:r w:rsidR="00A44846">
      <w:rPr>
        <w:rFonts w:ascii="Arial" w:hAnsi="Arial" w:cs="Arial"/>
        <w:b/>
        <w:noProof/>
        <w:sz w:val="16"/>
        <w:szCs w:val="16"/>
      </w:rPr>
      <w:t>14</w:t>
    </w:r>
    <w:r w:rsidR="00A81263" w:rsidRPr="009D2840">
      <w:rPr>
        <w:rFonts w:ascii="Arial" w:hAnsi="Arial" w:cs="Arial"/>
        <w:b/>
        <w:sz w:val="16"/>
        <w:szCs w:val="16"/>
      </w:rPr>
      <w:fldChar w:fldCharType="end"/>
    </w:r>
    <w:r w:rsidR="00A81263" w:rsidRPr="009D2840">
      <w:rPr>
        <w:rFonts w:ascii="Arial" w:hAnsi="Arial" w:cs="Arial"/>
        <w:sz w:val="16"/>
        <w:szCs w:val="16"/>
      </w:rPr>
      <w:t xml:space="preserve"> of </w:t>
    </w:r>
    <w:r w:rsidR="00A81263" w:rsidRPr="009D2840">
      <w:rPr>
        <w:rFonts w:ascii="Arial" w:hAnsi="Arial" w:cs="Arial"/>
        <w:b/>
        <w:sz w:val="16"/>
        <w:szCs w:val="16"/>
      </w:rPr>
      <w:fldChar w:fldCharType="begin"/>
    </w:r>
    <w:r w:rsidR="00A81263" w:rsidRPr="009D2840">
      <w:rPr>
        <w:rFonts w:ascii="Arial" w:hAnsi="Arial" w:cs="Arial"/>
        <w:b/>
        <w:sz w:val="16"/>
        <w:szCs w:val="16"/>
      </w:rPr>
      <w:instrText xml:space="preserve"> NUMPAGES  </w:instrText>
    </w:r>
    <w:r w:rsidR="00A81263" w:rsidRPr="009D2840">
      <w:rPr>
        <w:rFonts w:ascii="Arial" w:hAnsi="Arial" w:cs="Arial"/>
        <w:b/>
        <w:sz w:val="16"/>
        <w:szCs w:val="16"/>
      </w:rPr>
      <w:fldChar w:fldCharType="separate"/>
    </w:r>
    <w:r w:rsidR="00A44846">
      <w:rPr>
        <w:rFonts w:ascii="Arial" w:hAnsi="Arial" w:cs="Arial"/>
        <w:b/>
        <w:noProof/>
        <w:sz w:val="16"/>
        <w:szCs w:val="16"/>
      </w:rPr>
      <w:t>14</w:t>
    </w:r>
    <w:r w:rsidR="00A81263" w:rsidRPr="009D2840">
      <w:rPr>
        <w:rFonts w:ascii="Arial" w:hAnsi="Arial" w:cs="Arial"/>
        <w:b/>
        <w:sz w:val="16"/>
        <w:szCs w:val="16"/>
      </w:rPr>
      <w:fldChar w:fldCharType="end"/>
    </w:r>
  </w:p>
  <w:p w:rsidR="00A81263" w:rsidRDefault="00A81263" w:rsidP="00165D50">
    <w:pPr>
      <w:pStyle w:val="Footer"/>
    </w:pPr>
  </w:p>
  <w:p w:rsidR="00A81263" w:rsidRPr="00165D50" w:rsidRDefault="00A81263" w:rsidP="00165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4A2" w:rsidRDefault="00C004A2" w:rsidP="00C16E1D">
      <w:r>
        <w:separator/>
      </w:r>
    </w:p>
  </w:footnote>
  <w:footnote w:type="continuationSeparator" w:id="0">
    <w:p w:rsidR="00C004A2" w:rsidRDefault="00C004A2" w:rsidP="00C16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6">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A9C054F"/>
    <w:multiLevelType w:val="hybridMultilevel"/>
    <w:tmpl w:val="CE8A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1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10"/>
  </w:num>
  <w:num w:numId="6">
    <w:abstractNumId w:val="5"/>
  </w:num>
  <w:num w:numId="7">
    <w:abstractNumId w:val="6"/>
  </w:num>
  <w:num w:numId="8">
    <w:abstractNumId w:val="7"/>
  </w:num>
  <w:num w:numId="9">
    <w:abstractNumId w:val="9"/>
  </w:num>
  <w:num w:numId="10">
    <w:abstractNumId w:val="8"/>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587A"/>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5C37"/>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39DB"/>
    <w:rsid w:val="00414123"/>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8F"/>
    <w:rsid w:val="00507F2C"/>
    <w:rsid w:val="00511B47"/>
    <w:rsid w:val="00517772"/>
    <w:rsid w:val="00524C00"/>
    <w:rsid w:val="0052669E"/>
    <w:rsid w:val="00526F9B"/>
    <w:rsid w:val="00527063"/>
    <w:rsid w:val="00527F60"/>
    <w:rsid w:val="00533183"/>
    <w:rsid w:val="005338F4"/>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D64AC"/>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A0C66"/>
    <w:rsid w:val="008A110F"/>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8D5"/>
    <w:rsid w:val="0092498C"/>
    <w:rsid w:val="009251E4"/>
    <w:rsid w:val="0093130C"/>
    <w:rsid w:val="009314B7"/>
    <w:rsid w:val="00931B64"/>
    <w:rsid w:val="009332EB"/>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A01793"/>
    <w:rsid w:val="00A0204F"/>
    <w:rsid w:val="00A04194"/>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846"/>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7328"/>
    <w:rsid w:val="00A77E08"/>
    <w:rsid w:val="00A80213"/>
    <w:rsid w:val="00A8126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5861"/>
    <w:rsid w:val="00B55A8F"/>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3602"/>
    <w:rsid w:val="00BA49D8"/>
    <w:rsid w:val="00BA5031"/>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04A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A002D"/>
    <w:rsid w:val="00EA0149"/>
    <w:rsid w:val="00EA0ADE"/>
    <w:rsid w:val="00EA1DBA"/>
    <w:rsid w:val="00EA30F1"/>
    <w:rsid w:val="00EA35A2"/>
    <w:rsid w:val="00EA6D39"/>
    <w:rsid w:val="00EB0F9C"/>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55572-4471-42FD-9FFC-0A0B960FE20A}">
  <ds:schemaRef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d88c4e94-4c7c-48cf-8deb-b791022c1302"/>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3.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4.xml><?xml version="1.0" encoding="utf-8"?>
<ds:datastoreItem xmlns:ds="http://schemas.openxmlformats.org/officeDocument/2006/customXml" ds:itemID="{F2E83D4A-64C3-42FA-8E46-1CA7A2D1B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4036</Words>
  <Characters>23009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26992</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1638474</vt:i4>
      </vt:variant>
      <vt:variant>
        <vt:i4>15</vt:i4>
      </vt:variant>
      <vt:variant>
        <vt:i4>0</vt:i4>
      </vt:variant>
      <vt:variant>
        <vt:i4>5</vt:i4>
      </vt:variant>
      <vt:variant>
        <vt:lpwstr>http://blogs.kingston.ac.uk/raf/2012/05/22/welcome-2/</vt:lpwstr>
      </vt:variant>
      <vt:variant>
        <vt:lpwstr/>
      </vt:variant>
      <vt:variant>
        <vt:i4>524291</vt:i4>
      </vt:variant>
      <vt:variant>
        <vt:i4>12</vt:i4>
      </vt:variant>
      <vt:variant>
        <vt:i4>0</vt:i4>
      </vt:variant>
      <vt:variant>
        <vt:i4>5</vt:i4>
      </vt:variant>
      <vt:variant>
        <vt:lpwstr>http://www.qaa.ac.uk/assuring-standards-and-quality/the-quality-code/subject-benchmark-statements</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Harrison, Zoe</cp:lastModifiedBy>
  <cp:revision>2</cp:revision>
  <dcterms:created xsi:type="dcterms:W3CDTF">2017-11-15T09:58:00Z</dcterms:created>
  <dcterms:modified xsi:type="dcterms:W3CDTF">2017-11-15T09:58:00Z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0x010100D0DEAA2F896A354299CC25118AB56302</vt:lpwstr>
  </property>
</Properties>
</file>