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3928DC" w:rsidRDefault="00985A09" w:rsidP="005B1266">
      <w:pPr>
        <w:jc w:val="right"/>
        <w:rPr>
          <w:rFonts w:cs="Arial"/>
          <w:b/>
        </w:rPr>
      </w:pPr>
      <w:r>
        <w:rPr>
          <w:rFonts w:cs="Arial"/>
          <w:b/>
          <w:noProof/>
          <w:lang w:eastAsia="en-GB"/>
        </w:rPr>
        <w:drawing>
          <wp:inline distT="0" distB="0" distL="0" distR="0">
            <wp:extent cx="1002030" cy="100203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p w:rsidR="005B1266" w:rsidRPr="003928DC" w:rsidRDefault="005B1266" w:rsidP="005B1266">
      <w:pPr>
        <w:jc w:val="right"/>
        <w:rPr>
          <w:rFonts w:cs="Arial"/>
          <w:b/>
        </w:rPr>
      </w:pPr>
    </w:p>
    <w:p w:rsidR="005B1266" w:rsidRPr="003928DC" w:rsidRDefault="005B1266" w:rsidP="005B1266">
      <w:pPr>
        <w:rPr>
          <w:rFonts w:cs="Arial"/>
          <w:b/>
          <w:sz w:val="36"/>
          <w:szCs w:val="36"/>
        </w:rPr>
      </w:pPr>
    </w:p>
    <w:p w:rsidR="005B1266" w:rsidRPr="003928DC" w:rsidRDefault="005B1266" w:rsidP="005B1266">
      <w:pPr>
        <w:rPr>
          <w:rFonts w:cs="Arial"/>
          <w:b/>
          <w:sz w:val="36"/>
          <w:szCs w:val="36"/>
        </w:rPr>
      </w:pPr>
    </w:p>
    <w:p w:rsidR="005B1266" w:rsidRPr="003928DC" w:rsidRDefault="005B1266" w:rsidP="005B1266">
      <w:pPr>
        <w:rPr>
          <w:rFonts w:cs="Arial"/>
          <w:b/>
          <w:sz w:val="36"/>
          <w:szCs w:val="36"/>
        </w:rPr>
      </w:pPr>
    </w:p>
    <w:p w:rsidR="005B1266" w:rsidRPr="003928DC" w:rsidRDefault="005B1266" w:rsidP="005B1266">
      <w:pPr>
        <w:rPr>
          <w:rFonts w:cs="Arial"/>
          <w:b/>
          <w:sz w:val="36"/>
          <w:szCs w:val="36"/>
        </w:rPr>
      </w:pPr>
      <w:r w:rsidRPr="003928DC">
        <w:rPr>
          <w:rFonts w:cs="Arial"/>
          <w:b/>
          <w:sz w:val="36"/>
          <w:szCs w:val="36"/>
        </w:rPr>
        <w:t>Programme Specification</w:t>
      </w:r>
    </w:p>
    <w:p w:rsidR="005B1266" w:rsidRPr="003928DC" w:rsidRDefault="005B1266" w:rsidP="005B1266">
      <w:pPr>
        <w:rPr>
          <w:rFonts w:cs="Arial"/>
          <w:b/>
          <w:sz w:val="36"/>
          <w:szCs w:val="36"/>
        </w:rPr>
      </w:pPr>
    </w:p>
    <w:p w:rsidR="005B1266" w:rsidRPr="003928DC" w:rsidRDefault="005B1266" w:rsidP="005B1266">
      <w:pPr>
        <w:rPr>
          <w:rFonts w:cs="Arial"/>
          <w:b/>
          <w:sz w:val="36"/>
          <w:szCs w:val="36"/>
        </w:rPr>
      </w:pPr>
    </w:p>
    <w:p w:rsidR="005B1266" w:rsidRPr="003928DC" w:rsidRDefault="005B1266" w:rsidP="005B1266">
      <w:pPr>
        <w:rPr>
          <w:rFonts w:cs="Arial"/>
          <w:b/>
        </w:rPr>
      </w:pPr>
      <w:r w:rsidRPr="003928DC">
        <w:rPr>
          <w:rFonts w:cs="Arial"/>
          <w:b/>
        </w:rPr>
        <w:t>Title of Course:</w:t>
      </w:r>
      <w:r w:rsidR="00697DDA" w:rsidRPr="003928DC">
        <w:rPr>
          <w:rFonts w:cs="Arial"/>
          <w:b/>
        </w:rPr>
        <w:t xml:space="preserve"> </w:t>
      </w:r>
      <w:r w:rsidR="00411F2A" w:rsidRPr="003928DC">
        <w:rPr>
          <w:rFonts w:cs="Arial"/>
          <w:b/>
        </w:rPr>
        <w:t xml:space="preserve"> MSc </w:t>
      </w:r>
      <w:r w:rsidR="00697DDA" w:rsidRPr="003928DC">
        <w:rPr>
          <w:rFonts w:cs="Arial"/>
          <w:b/>
        </w:rPr>
        <w:t>Sustainability and Environmental Change</w:t>
      </w:r>
    </w:p>
    <w:p w:rsidR="005B1266" w:rsidRPr="003928DC" w:rsidRDefault="005B1266" w:rsidP="005B1266">
      <w:pPr>
        <w:rPr>
          <w:rFonts w:cs="Arial"/>
          <w:b/>
        </w:rPr>
      </w:pPr>
    </w:p>
    <w:p w:rsidR="005B1266" w:rsidRPr="003928DC" w:rsidRDefault="005B1266" w:rsidP="005B1266">
      <w:pPr>
        <w:rPr>
          <w:rFonts w:cs="Arial"/>
          <w:b/>
        </w:rPr>
      </w:pPr>
      <w:r w:rsidRPr="003928DC">
        <w:rPr>
          <w:rFonts w:cs="Arial"/>
          <w:b/>
        </w:rPr>
        <w:t>Date Specification Produced:</w:t>
      </w:r>
      <w:r w:rsidR="00697DDA" w:rsidRPr="003928DC">
        <w:rPr>
          <w:rFonts w:cs="Arial"/>
          <w:b/>
        </w:rPr>
        <w:t xml:space="preserve"> </w:t>
      </w:r>
      <w:r w:rsidR="00411F2A" w:rsidRPr="003928DC">
        <w:rPr>
          <w:rFonts w:cs="Arial"/>
          <w:b/>
        </w:rPr>
        <w:t xml:space="preserve"> </w:t>
      </w:r>
      <w:r w:rsidR="00697DDA" w:rsidRPr="003928DC">
        <w:rPr>
          <w:rFonts w:cs="Arial"/>
          <w:b/>
        </w:rPr>
        <w:t>October 2012</w:t>
      </w:r>
    </w:p>
    <w:p w:rsidR="005B1266" w:rsidRPr="003928DC" w:rsidRDefault="005B1266" w:rsidP="005B1266">
      <w:pPr>
        <w:rPr>
          <w:rFonts w:cs="Arial"/>
          <w:b/>
        </w:rPr>
      </w:pPr>
    </w:p>
    <w:p w:rsidR="005B1266" w:rsidRPr="003928DC" w:rsidRDefault="005B1266" w:rsidP="005B1266">
      <w:pPr>
        <w:rPr>
          <w:rFonts w:cs="Arial"/>
          <w:b/>
        </w:rPr>
      </w:pPr>
      <w:r w:rsidRPr="003928DC">
        <w:rPr>
          <w:rFonts w:cs="Arial"/>
          <w:b/>
        </w:rPr>
        <w:t>Date Specification Last Revised:</w:t>
      </w:r>
      <w:r w:rsidR="00697DDA" w:rsidRPr="003928DC">
        <w:rPr>
          <w:rFonts w:cs="Arial"/>
          <w:b/>
        </w:rPr>
        <w:t xml:space="preserve"> </w:t>
      </w:r>
      <w:r w:rsidR="000402CB">
        <w:rPr>
          <w:rFonts w:cs="Arial"/>
          <w:b/>
        </w:rPr>
        <w:t xml:space="preserve"> </w:t>
      </w:r>
      <w:r w:rsidR="004002CB">
        <w:rPr>
          <w:rFonts w:cs="Arial"/>
          <w:b/>
        </w:rPr>
        <w:t>October 201</w:t>
      </w:r>
      <w:r w:rsidR="000B7BED">
        <w:rPr>
          <w:rFonts w:cs="Arial"/>
          <w:b/>
        </w:rPr>
        <w:t>6</w:t>
      </w:r>
      <w:bookmarkStart w:id="0" w:name="_GoBack"/>
      <w:bookmarkEnd w:id="0"/>
    </w:p>
    <w:p w:rsidR="005B1266" w:rsidRPr="003928DC" w:rsidRDefault="005B1266" w:rsidP="005B1266">
      <w:pPr>
        <w:rPr>
          <w:rFonts w:cs="Arial"/>
          <w:b/>
        </w:rPr>
      </w:pPr>
    </w:p>
    <w:p w:rsidR="005B1266" w:rsidRPr="003928DC" w:rsidRDefault="005B1266" w:rsidP="005B1266">
      <w:pPr>
        <w:rPr>
          <w:rFonts w:cs="Arial"/>
          <w:b/>
        </w:rPr>
      </w:pPr>
    </w:p>
    <w:p w:rsidR="005B1266" w:rsidRPr="003928DC" w:rsidRDefault="005B1266" w:rsidP="005B1266">
      <w:pPr>
        <w:rPr>
          <w:rFonts w:cs="Arial"/>
          <w:b/>
        </w:rPr>
      </w:pPr>
    </w:p>
    <w:p w:rsidR="005B1266" w:rsidRPr="003928DC" w:rsidRDefault="005B1266" w:rsidP="005B1266">
      <w:pPr>
        <w:spacing w:after="0" w:line="240" w:lineRule="auto"/>
        <w:jc w:val="both"/>
        <w:rPr>
          <w:rFonts w:cs="Arial"/>
          <w:b/>
        </w:rPr>
      </w:pPr>
    </w:p>
    <w:p w:rsidR="00411F2A" w:rsidRPr="003928DC" w:rsidRDefault="00411F2A" w:rsidP="005B1266">
      <w:pPr>
        <w:spacing w:after="0" w:line="240" w:lineRule="auto"/>
        <w:jc w:val="both"/>
        <w:rPr>
          <w:rFonts w:cs="Arial"/>
          <w:b/>
        </w:rPr>
      </w:pPr>
    </w:p>
    <w:p w:rsidR="00411F2A" w:rsidRPr="003928DC" w:rsidRDefault="00411F2A" w:rsidP="005B1266">
      <w:pPr>
        <w:spacing w:after="0" w:line="240" w:lineRule="auto"/>
        <w:jc w:val="both"/>
        <w:rPr>
          <w:rFonts w:cs="Arial"/>
          <w:b/>
        </w:rPr>
      </w:pPr>
    </w:p>
    <w:p w:rsidR="00411F2A" w:rsidRPr="003928DC" w:rsidRDefault="00411F2A" w:rsidP="005B1266">
      <w:pPr>
        <w:spacing w:after="0" w:line="240" w:lineRule="auto"/>
        <w:jc w:val="both"/>
        <w:rPr>
          <w:rFonts w:cs="Arial"/>
          <w:b/>
        </w:rPr>
      </w:pPr>
    </w:p>
    <w:p w:rsidR="00411F2A" w:rsidRPr="003928DC" w:rsidRDefault="00411F2A" w:rsidP="005B1266">
      <w:pPr>
        <w:spacing w:after="0" w:line="240" w:lineRule="auto"/>
        <w:jc w:val="both"/>
        <w:rPr>
          <w:rFonts w:cs="Arial"/>
          <w:b/>
        </w:rPr>
      </w:pPr>
    </w:p>
    <w:p w:rsidR="00411F2A" w:rsidRPr="003928DC" w:rsidRDefault="00411F2A" w:rsidP="005B1266">
      <w:pPr>
        <w:spacing w:after="0" w:line="240" w:lineRule="auto"/>
        <w:jc w:val="both"/>
        <w:rPr>
          <w:rFonts w:cs="Arial"/>
        </w:rPr>
      </w:pPr>
    </w:p>
    <w:p w:rsidR="005B1266" w:rsidRPr="003928DC" w:rsidRDefault="005B1266" w:rsidP="005B1266">
      <w:pPr>
        <w:spacing w:after="0" w:line="240" w:lineRule="auto"/>
        <w:jc w:val="both"/>
        <w:rPr>
          <w:rFonts w:cs="Arial"/>
        </w:rPr>
      </w:pPr>
      <w:r w:rsidRPr="003928DC">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3928DC" w:rsidRDefault="005B1266" w:rsidP="005B1266">
      <w:pPr>
        <w:rPr>
          <w:rFonts w:cs="Arial"/>
          <w:b/>
        </w:rPr>
      </w:pPr>
      <w:r w:rsidRPr="003928DC">
        <w:rPr>
          <w:rFonts w:cs="Arial"/>
        </w:rPr>
        <w:br w:type="page"/>
      </w:r>
      <w:r w:rsidRPr="003928DC">
        <w:rPr>
          <w:rFonts w:cs="Arial"/>
          <w:b/>
        </w:rPr>
        <w:lastRenderedPageBreak/>
        <w:t>SECTION 1:</w:t>
      </w:r>
      <w:r w:rsidRPr="003928DC">
        <w:rPr>
          <w:rFonts w:cs="Arial"/>
          <w:b/>
        </w:rPr>
        <w:tab/>
        <w:t>GENERAL INFORMATION</w:t>
      </w:r>
    </w:p>
    <w:tbl>
      <w:tblPr>
        <w:tblW w:w="0" w:type="auto"/>
        <w:tblLook w:val="04A0" w:firstRow="1" w:lastRow="0" w:firstColumn="1" w:lastColumn="0" w:noHBand="0" w:noVBand="1"/>
      </w:tblPr>
      <w:tblGrid>
        <w:gridCol w:w="3936"/>
        <w:gridCol w:w="5306"/>
      </w:tblGrid>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Title:</w:t>
            </w:r>
          </w:p>
        </w:tc>
        <w:tc>
          <w:tcPr>
            <w:tcW w:w="5306" w:type="dxa"/>
          </w:tcPr>
          <w:p w:rsidR="005B1266" w:rsidRPr="003928DC" w:rsidRDefault="00697DDA" w:rsidP="00EB7B51">
            <w:pPr>
              <w:spacing w:after="0" w:line="240" w:lineRule="auto"/>
              <w:rPr>
                <w:rFonts w:cs="Arial"/>
              </w:rPr>
            </w:pPr>
            <w:r w:rsidRPr="003928DC">
              <w:rPr>
                <w:rFonts w:cs="Arial"/>
              </w:rPr>
              <w:t>MSc Sustainability and Environmental Change</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Awarding Institution:</w:t>
            </w:r>
          </w:p>
          <w:p w:rsidR="005B1266" w:rsidRPr="003928DC" w:rsidRDefault="005B1266" w:rsidP="00EB7B51">
            <w:pPr>
              <w:spacing w:after="0" w:line="240" w:lineRule="auto"/>
              <w:rPr>
                <w:rFonts w:cs="Arial"/>
                <w:b/>
              </w:rPr>
            </w:pPr>
          </w:p>
        </w:tc>
        <w:tc>
          <w:tcPr>
            <w:tcW w:w="5306" w:type="dxa"/>
          </w:tcPr>
          <w:p w:rsidR="005B1266" w:rsidRPr="003928DC" w:rsidRDefault="005B1266" w:rsidP="00EB7B51">
            <w:pPr>
              <w:spacing w:after="0" w:line="240" w:lineRule="auto"/>
              <w:rPr>
                <w:rFonts w:cs="Arial"/>
              </w:rPr>
            </w:pPr>
            <w:r w:rsidRPr="003928DC">
              <w:rPr>
                <w:rFonts w:cs="Arial"/>
              </w:rPr>
              <w:t>Kingston University</w:t>
            </w:r>
            <w:r w:rsidR="00A425D4" w:rsidRPr="003928DC">
              <w:rPr>
                <w:rFonts w:cs="Arial"/>
              </w:rPr>
              <w:t xml:space="preserve"> London</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Teaching Institution:</w:t>
            </w:r>
          </w:p>
          <w:p w:rsidR="005B1266" w:rsidRPr="003928DC" w:rsidRDefault="005B1266" w:rsidP="00EB7B51">
            <w:pPr>
              <w:spacing w:after="0" w:line="240" w:lineRule="auto"/>
              <w:rPr>
                <w:rFonts w:cs="Arial"/>
                <w:b/>
              </w:rPr>
            </w:pPr>
          </w:p>
        </w:tc>
        <w:tc>
          <w:tcPr>
            <w:tcW w:w="5306" w:type="dxa"/>
          </w:tcPr>
          <w:p w:rsidR="005B1266" w:rsidRPr="003928DC" w:rsidRDefault="00697DDA" w:rsidP="00EB7B51">
            <w:pPr>
              <w:spacing w:after="0" w:line="240" w:lineRule="auto"/>
              <w:rPr>
                <w:rFonts w:cs="Arial"/>
              </w:rPr>
            </w:pPr>
            <w:r w:rsidRPr="003928DC">
              <w:rPr>
                <w:rFonts w:cs="Arial"/>
              </w:rPr>
              <w:t>Kingston University</w:t>
            </w:r>
            <w:r w:rsidR="00A425D4" w:rsidRPr="003928DC">
              <w:rPr>
                <w:rFonts w:cs="Arial"/>
              </w:rPr>
              <w:t xml:space="preserve"> London</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Location:</w:t>
            </w:r>
          </w:p>
        </w:tc>
        <w:tc>
          <w:tcPr>
            <w:tcW w:w="5306" w:type="dxa"/>
          </w:tcPr>
          <w:p w:rsidR="005B1266" w:rsidRPr="003928DC" w:rsidRDefault="00697DDA" w:rsidP="005B1266">
            <w:pPr>
              <w:spacing w:after="0" w:line="240" w:lineRule="auto"/>
              <w:rPr>
                <w:rFonts w:cs="Arial"/>
              </w:rPr>
            </w:pPr>
            <w:proofErr w:type="spellStart"/>
            <w:r w:rsidRPr="003928DC">
              <w:rPr>
                <w:rFonts w:cs="Arial"/>
              </w:rPr>
              <w:t>Penrhyn</w:t>
            </w:r>
            <w:proofErr w:type="spellEnd"/>
            <w:r w:rsidRPr="003928DC">
              <w:rPr>
                <w:rFonts w:cs="Arial"/>
              </w:rPr>
              <w:t xml:space="preserve"> Road</w:t>
            </w:r>
          </w:p>
          <w:p w:rsidR="005B1266" w:rsidRPr="003928DC" w:rsidRDefault="005B1266" w:rsidP="005B1266">
            <w:pPr>
              <w:spacing w:after="0" w:line="240" w:lineRule="auto"/>
              <w:rPr>
                <w:rFonts w:cs="Arial"/>
              </w:rPr>
            </w:pP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Programme Accredited by:</w:t>
            </w:r>
          </w:p>
          <w:p w:rsidR="005B1266" w:rsidRPr="003928DC" w:rsidRDefault="005B1266" w:rsidP="00EB7B51">
            <w:pPr>
              <w:spacing w:after="0" w:line="240" w:lineRule="auto"/>
              <w:rPr>
                <w:rFonts w:cs="Arial"/>
                <w:b/>
              </w:rPr>
            </w:pPr>
          </w:p>
        </w:tc>
        <w:tc>
          <w:tcPr>
            <w:tcW w:w="5306" w:type="dxa"/>
          </w:tcPr>
          <w:p w:rsidR="005B1266" w:rsidRPr="003928DC" w:rsidRDefault="00D41F5A" w:rsidP="00EB7B51">
            <w:pPr>
              <w:spacing w:after="0" w:line="240" w:lineRule="auto"/>
              <w:rPr>
                <w:rFonts w:cs="Arial"/>
              </w:rPr>
            </w:pPr>
            <w:r w:rsidRPr="003928DC">
              <w:rPr>
                <w:rFonts w:cs="Arial"/>
              </w:rPr>
              <w:t>Not applicable</w:t>
            </w:r>
          </w:p>
        </w:tc>
      </w:tr>
    </w:tbl>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b/>
        </w:rPr>
      </w:pPr>
      <w:r w:rsidRPr="003928DC">
        <w:rPr>
          <w:rFonts w:cs="Arial"/>
          <w:b/>
        </w:rPr>
        <w:t>SECTION2: THE PROGRAMME</w:t>
      </w:r>
    </w:p>
    <w:p w:rsidR="005B1266" w:rsidRPr="003928DC" w:rsidRDefault="005B1266" w:rsidP="005B1266">
      <w:pPr>
        <w:spacing w:after="0" w:line="240" w:lineRule="auto"/>
        <w:rPr>
          <w:rFonts w:cs="Arial"/>
          <w:b/>
        </w:rPr>
      </w:pPr>
    </w:p>
    <w:p w:rsidR="005B1266" w:rsidRPr="003928DC" w:rsidRDefault="005B1266" w:rsidP="005B1266">
      <w:pPr>
        <w:pStyle w:val="ListParagraph"/>
        <w:numPr>
          <w:ilvl w:val="0"/>
          <w:numId w:val="1"/>
        </w:numPr>
        <w:spacing w:after="0" w:line="240" w:lineRule="auto"/>
        <w:rPr>
          <w:rFonts w:cs="Arial"/>
        </w:rPr>
      </w:pPr>
      <w:r w:rsidRPr="003928DC">
        <w:rPr>
          <w:rFonts w:cs="Arial"/>
          <w:b/>
        </w:rPr>
        <w:t>Programme Introduction</w:t>
      </w:r>
    </w:p>
    <w:p w:rsidR="005B1266" w:rsidRPr="003928DC" w:rsidRDefault="00822E16" w:rsidP="00715A60">
      <w:pPr>
        <w:spacing w:line="264" w:lineRule="auto"/>
        <w:ind w:left="360"/>
        <w:jc w:val="both"/>
        <w:rPr>
          <w:rFonts w:cs="Arial"/>
          <w:color w:val="FF0000"/>
        </w:rPr>
      </w:pPr>
      <w:r w:rsidRPr="003928DC">
        <w:rPr>
          <w:rFonts w:cs="Arial"/>
          <w:b/>
          <w:i/>
        </w:rPr>
        <w:t>Sustainability and Environment</w:t>
      </w:r>
      <w:r w:rsidR="006E04FF" w:rsidRPr="003928DC">
        <w:rPr>
          <w:rFonts w:cs="Arial"/>
          <w:b/>
          <w:i/>
        </w:rPr>
        <w:t xml:space="preserve"> Change</w:t>
      </w:r>
      <w:r w:rsidR="006E04FF" w:rsidRPr="003928DC">
        <w:rPr>
          <w:rFonts w:cs="Arial"/>
        </w:rPr>
        <w:t xml:space="preserve"> is one of a new suite of postgraduate courses addressing the challenges surrounding climate change and the move to a low carbon economy and related environmental change and management policies and strategies. Distinctively the postgraduate courses share core modules from differe</w:t>
      </w:r>
      <w:r w:rsidR="00492D94" w:rsidRPr="003928DC">
        <w:rPr>
          <w:rFonts w:cs="Arial"/>
        </w:rPr>
        <w:t>nt discipline areas within the F</w:t>
      </w:r>
      <w:r w:rsidR="006E04FF" w:rsidRPr="003928DC">
        <w:rPr>
          <w:rFonts w:cs="Arial"/>
        </w:rPr>
        <w:t>aculties of Art Design &amp; Architecture, Business &amp; Law and Science. The philoso</w:t>
      </w:r>
      <w:r w:rsidRPr="003928DC">
        <w:rPr>
          <w:rFonts w:cs="Arial"/>
        </w:rPr>
        <w:t>phy and rationale of the course</w:t>
      </w:r>
      <w:r w:rsidR="006E04FF" w:rsidRPr="003928DC">
        <w:rPr>
          <w:rFonts w:cs="Arial"/>
        </w:rPr>
        <w:t xml:space="preserve"> build on the need for new sustainability profession</w:t>
      </w:r>
      <w:r w:rsidR="00715A60" w:rsidRPr="003928DC">
        <w:rPr>
          <w:rFonts w:cs="Arial"/>
        </w:rPr>
        <w:t>als; people with a strong cross-</w:t>
      </w:r>
      <w:r w:rsidR="006E04FF" w:rsidRPr="003928DC">
        <w:rPr>
          <w:rFonts w:cs="Arial"/>
        </w:rPr>
        <w:t xml:space="preserve">disciplinary understanding of the societal, economic, and environmental challenges posed by the emerging climate change agenda in particular and environmental change more generally. Identifying appropriate and effective responses, whether technical, regulatory, behavioural or fiscal or by innovative design or changing business priorities demands a high level of multidisciplinary understanding. The </w:t>
      </w:r>
      <w:r w:rsidR="006E04FF" w:rsidRPr="003928DC">
        <w:rPr>
          <w:rFonts w:cs="Arial"/>
          <w:i/>
        </w:rPr>
        <w:t xml:space="preserve">Sustainability </w:t>
      </w:r>
      <w:r w:rsidRPr="003928DC">
        <w:rPr>
          <w:rFonts w:cs="Arial"/>
          <w:i/>
        </w:rPr>
        <w:t xml:space="preserve">and </w:t>
      </w:r>
      <w:r w:rsidR="006E04FF" w:rsidRPr="003928DC">
        <w:rPr>
          <w:rFonts w:cs="Arial"/>
          <w:i/>
        </w:rPr>
        <w:t>Environment Change</w:t>
      </w:r>
      <w:r w:rsidR="00492D94" w:rsidRPr="003928DC">
        <w:rPr>
          <w:rFonts w:cs="Arial"/>
        </w:rPr>
        <w:t xml:space="preserve"> M</w:t>
      </w:r>
      <w:r w:rsidR="006E04FF" w:rsidRPr="003928DC">
        <w:rPr>
          <w:rFonts w:cs="Arial"/>
        </w:rPr>
        <w:t>asters aims to provide students with the in-dept</w:t>
      </w:r>
      <w:r w:rsidR="00492D94" w:rsidRPr="003928DC">
        <w:rPr>
          <w:rFonts w:cs="Arial"/>
        </w:rPr>
        <w:t xml:space="preserve">h knowledge and the essential </w:t>
      </w:r>
      <w:r w:rsidR="003E7637" w:rsidRPr="003928DC">
        <w:rPr>
          <w:rFonts w:cs="Arial"/>
        </w:rPr>
        <w:t>practical</w:t>
      </w:r>
      <w:r w:rsidR="006E04FF" w:rsidRPr="003928DC">
        <w:rPr>
          <w:rFonts w:cs="Arial"/>
        </w:rPr>
        <w:t xml:space="preserve"> and evaluative skills needed to give leadership for low carbon, resource efficient, sustainable futures in diverse global contexts. The multidisciplinary understanding that gives rigour and credibility to sustainability and decision-making for a more sustainable future is a key underlying philosophy for this programme. The programme will provide students with a good basis for careers in local government, with NGOs, major international companies, as independent consultants, and in education, research and enterprise more generally. </w:t>
      </w:r>
    </w:p>
    <w:p w:rsidR="005B1266" w:rsidRPr="003928DC" w:rsidRDefault="005B1266" w:rsidP="005B1266">
      <w:pPr>
        <w:spacing w:after="0" w:line="240" w:lineRule="auto"/>
        <w:rPr>
          <w:rFonts w:cs="Arial"/>
          <w:i/>
          <w:sz w:val="18"/>
          <w:szCs w:val="18"/>
        </w:rPr>
      </w:pPr>
    </w:p>
    <w:p w:rsidR="005B1266" w:rsidRPr="003928DC" w:rsidRDefault="005B1266" w:rsidP="005B1266">
      <w:pPr>
        <w:spacing w:after="0" w:line="240" w:lineRule="auto"/>
        <w:rPr>
          <w:rFonts w:cs="Arial"/>
          <w:i/>
          <w:sz w:val="18"/>
          <w:szCs w:val="18"/>
        </w:rPr>
      </w:pPr>
    </w:p>
    <w:p w:rsidR="005B1266" w:rsidRPr="003928DC" w:rsidRDefault="005B1266" w:rsidP="005B1266">
      <w:pPr>
        <w:pStyle w:val="ListParagraph"/>
        <w:numPr>
          <w:ilvl w:val="0"/>
          <w:numId w:val="1"/>
        </w:numPr>
        <w:spacing w:after="0" w:line="240" w:lineRule="auto"/>
        <w:rPr>
          <w:rFonts w:cs="Arial"/>
        </w:rPr>
      </w:pPr>
      <w:r w:rsidRPr="003928DC">
        <w:rPr>
          <w:rFonts w:cs="Arial"/>
          <w:b/>
        </w:rPr>
        <w:t>Aims of the Programme</w:t>
      </w:r>
    </w:p>
    <w:p w:rsidR="002F0ED4" w:rsidRPr="003928DC" w:rsidRDefault="002F0ED4" w:rsidP="005B1266">
      <w:pPr>
        <w:pStyle w:val="ListParagraph"/>
        <w:numPr>
          <w:ilvl w:val="0"/>
          <w:numId w:val="1"/>
        </w:numPr>
        <w:spacing w:after="0" w:line="240" w:lineRule="auto"/>
        <w:rPr>
          <w:rFonts w:cs="Arial"/>
        </w:rPr>
      </w:pPr>
    </w:p>
    <w:p w:rsidR="00872F7D" w:rsidRPr="003928DC" w:rsidRDefault="00872F7D" w:rsidP="00872F7D">
      <w:pPr>
        <w:pStyle w:val="BlockText"/>
        <w:ind w:left="720" w:right="87"/>
        <w:rPr>
          <w:rFonts w:ascii="Calibri" w:hAnsi="Calibri" w:cs="Arial"/>
          <w:b w:val="0"/>
          <w:i w:val="0"/>
          <w:szCs w:val="22"/>
        </w:rPr>
      </w:pPr>
      <w:r w:rsidRPr="003928DC">
        <w:rPr>
          <w:rFonts w:ascii="Calibri" w:hAnsi="Calibri" w:cs="Arial"/>
          <w:i w:val="0"/>
          <w:szCs w:val="22"/>
        </w:rPr>
        <w:t xml:space="preserve">The specific aims for the MSc </w:t>
      </w:r>
      <w:r w:rsidR="002F0ED4" w:rsidRPr="003928DC">
        <w:rPr>
          <w:rFonts w:ascii="Calibri" w:hAnsi="Calibri" w:cs="Arial"/>
          <w:szCs w:val="22"/>
        </w:rPr>
        <w:t>Sustainability and Environmental Change</w:t>
      </w:r>
      <w:r w:rsidRPr="003928DC">
        <w:rPr>
          <w:rFonts w:ascii="Calibri" w:hAnsi="Calibri" w:cs="Arial"/>
          <w:i w:val="0"/>
          <w:szCs w:val="22"/>
        </w:rPr>
        <w:t xml:space="preserve"> are:</w:t>
      </w:r>
    </w:p>
    <w:p w:rsidR="00872F7D" w:rsidRPr="003928DC" w:rsidRDefault="00872F7D" w:rsidP="00872F7D">
      <w:pPr>
        <w:pStyle w:val="BlockText"/>
        <w:ind w:left="1080" w:right="87"/>
        <w:rPr>
          <w:rFonts w:ascii="Calibri" w:hAnsi="Calibri" w:cs="Arial"/>
          <w:b w:val="0"/>
          <w:i w:val="0"/>
          <w:szCs w:val="22"/>
        </w:rPr>
      </w:pPr>
    </w:p>
    <w:p w:rsidR="00872F7D" w:rsidRPr="003928DC" w:rsidRDefault="00872F7D" w:rsidP="00872F7D">
      <w:pPr>
        <w:pStyle w:val="BlockText"/>
        <w:numPr>
          <w:ilvl w:val="0"/>
          <w:numId w:val="14"/>
        </w:numPr>
        <w:ind w:right="87"/>
        <w:rPr>
          <w:rFonts w:ascii="Calibri" w:hAnsi="Calibri" w:cs="Arial"/>
          <w:b w:val="0"/>
          <w:i w:val="0"/>
          <w:szCs w:val="22"/>
        </w:rPr>
      </w:pPr>
      <w:r w:rsidRPr="003928DC">
        <w:rPr>
          <w:rFonts w:ascii="Calibri" w:hAnsi="Calibri" w:cs="Arial"/>
          <w:b w:val="0"/>
          <w:i w:val="0"/>
          <w:szCs w:val="22"/>
        </w:rPr>
        <w:t>To provide students with the opportunity to apply their knowledge and skills to the in-depth study of a specific environmental or sustainability issue</w:t>
      </w:r>
    </w:p>
    <w:p w:rsidR="00872F7D" w:rsidRPr="003928DC" w:rsidRDefault="00872F7D" w:rsidP="00872F7D">
      <w:pPr>
        <w:pStyle w:val="BlockText"/>
        <w:numPr>
          <w:ilvl w:val="0"/>
          <w:numId w:val="14"/>
        </w:numPr>
        <w:ind w:right="87"/>
        <w:rPr>
          <w:rFonts w:ascii="Calibri" w:hAnsi="Calibri" w:cs="Arial"/>
          <w:b w:val="0"/>
          <w:i w:val="0"/>
          <w:szCs w:val="22"/>
        </w:rPr>
      </w:pPr>
      <w:r w:rsidRPr="003928DC">
        <w:rPr>
          <w:rFonts w:ascii="Calibri" w:hAnsi="Calibri" w:cs="Arial"/>
          <w:b w:val="0"/>
          <w:i w:val="0"/>
          <w:szCs w:val="22"/>
        </w:rPr>
        <w:t xml:space="preserve">To ensure students are capable of independently and successfully completing a complex research investigation pertinent to sustainability, environment and change including its management, performance, analysis and critical evaluation </w:t>
      </w:r>
    </w:p>
    <w:p w:rsidR="00872F7D" w:rsidRPr="003928DC" w:rsidRDefault="00872F7D" w:rsidP="00872F7D">
      <w:pPr>
        <w:pStyle w:val="BlockText"/>
        <w:numPr>
          <w:ilvl w:val="0"/>
          <w:numId w:val="14"/>
        </w:numPr>
        <w:ind w:right="87"/>
        <w:rPr>
          <w:rFonts w:ascii="Calibri" w:hAnsi="Calibri" w:cs="Arial"/>
          <w:b w:val="0"/>
          <w:i w:val="0"/>
          <w:szCs w:val="22"/>
        </w:rPr>
      </w:pPr>
      <w:r w:rsidRPr="003928DC">
        <w:rPr>
          <w:rFonts w:ascii="Calibri" w:hAnsi="Calibri" w:cs="Arial"/>
          <w:b w:val="0"/>
          <w:i w:val="0"/>
          <w:szCs w:val="22"/>
        </w:rPr>
        <w:t>To endow students with the skills to present and defend their research orally and in writing</w:t>
      </w:r>
    </w:p>
    <w:p w:rsidR="00872F7D" w:rsidRPr="003928DC" w:rsidRDefault="00872F7D" w:rsidP="00872F7D">
      <w:pPr>
        <w:pStyle w:val="BlockText"/>
        <w:numPr>
          <w:ilvl w:val="0"/>
          <w:numId w:val="14"/>
        </w:numPr>
        <w:ind w:right="87"/>
        <w:rPr>
          <w:rFonts w:ascii="Calibri" w:hAnsi="Calibri" w:cs="Arial"/>
          <w:b w:val="0"/>
          <w:i w:val="0"/>
          <w:szCs w:val="22"/>
        </w:rPr>
      </w:pPr>
      <w:r w:rsidRPr="003928DC">
        <w:rPr>
          <w:rFonts w:ascii="Calibri" w:hAnsi="Calibri" w:cs="Arial"/>
          <w:b w:val="0"/>
          <w:i w:val="0"/>
          <w:szCs w:val="22"/>
        </w:rPr>
        <w:t xml:space="preserve">To foster a commitment to life-long learning and </w:t>
      </w:r>
      <w:proofErr w:type="spellStart"/>
      <w:r w:rsidRPr="003928DC">
        <w:rPr>
          <w:rFonts w:ascii="Calibri" w:hAnsi="Calibri" w:cs="Arial"/>
          <w:b w:val="0"/>
          <w:i w:val="0"/>
          <w:szCs w:val="22"/>
        </w:rPr>
        <w:t>self development</w:t>
      </w:r>
      <w:proofErr w:type="spellEnd"/>
      <w:r w:rsidRPr="003928DC">
        <w:rPr>
          <w:rFonts w:ascii="Calibri" w:hAnsi="Calibri" w:cs="Arial"/>
          <w:b w:val="0"/>
          <w:i w:val="0"/>
          <w:szCs w:val="22"/>
        </w:rPr>
        <w:t>.</w:t>
      </w:r>
    </w:p>
    <w:p w:rsidR="00872F7D" w:rsidRPr="003928DC" w:rsidRDefault="00872F7D" w:rsidP="00872F7D">
      <w:pPr>
        <w:pStyle w:val="BlockText"/>
        <w:ind w:left="1080" w:right="87"/>
        <w:rPr>
          <w:rFonts w:ascii="Calibri" w:hAnsi="Calibri" w:cs="Arial"/>
          <w:b w:val="0"/>
          <w:szCs w:val="22"/>
        </w:rPr>
      </w:pPr>
      <w:r w:rsidRPr="003928DC">
        <w:rPr>
          <w:rFonts w:ascii="Calibri" w:hAnsi="Calibri" w:cs="Arial"/>
          <w:b w:val="0"/>
          <w:szCs w:val="22"/>
        </w:rPr>
        <w:t xml:space="preserve">   </w:t>
      </w:r>
    </w:p>
    <w:p w:rsidR="00872F7D" w:rsidRPr="003928DC" w:rsidRDefault="00872F7D" w:rsidP="00872F7D">
      <w:pPr>
        <w:pStyle w:val="BlockText"/>
        <w:ind w:right="87"/>
        <w:rPr>
          <w:rFonts w:ascii="Calibri" w:hAnsi="Calibri" w:cs="Arial"/>
          <w:b w:val="0"/>
          <w:i w:val="0"/>
          <w:szCs w:val="22"/>
        </w:rPr>
      </w:pPr>
      <w:r w:rsidRPr="003928DC">
        <w:rPr>
          <w:rFonts w:ascii="Calibri" w:hAnsi="Calibri" w:cs="Arial"/>
          <w:b w:val="0"/>
          <w:i w:val="0"/>
          <w:szCs w:val="22"/>
        </w:rPr>
        <w:lastRenderedPageBreak/>
        <w:t xml:space="preserve">The overarching aims of the Masters programme in Sustainability </w:t>
      </w:r>
      <w:r w:rsidR="002F0ED4" w:rsidRPr="003928DC">
        <w:rPr>
          <w:rFonts w:ascii="Calibri" w:hAnsi="Calibri" w:cs="Arial"/>
          <w:b w:val="0"/>
          <w:i w:val="0"/>
          <w:szCs w:val="22"/>
        </w:rPr>
        <w:t xml:space="preserve">and </w:t>
      </w:r>
      <w:r w:rsidRPr="003928DC">
        <w:rPr>
          <w:rFonts w:ascii="Calibri" w:hAnsi="Calibri" w:cs="Arial"/>
          <w:b w:val="0"/>
          <w:i w:val="0"/>
          <w:szCs w:val="22"/>
        </w:rPr>
        <w:t>Environment</w:t>
      </w:r>
      <w:r w:rsidR="002F0ED4" w:rsidRPr="003928DC">
        <w:rPr>
          <w:rFonts w:ascii="Calibri" w:hAnsi="Calibri" w:cs="Arial"/>
          <w:b w:val="0"/>
          <w:i w:val="0"/>
          <w:szCs w:val="22"/>
        </w:rPr>
        <w:t>al</w:t>
      </w:r>
      <w:r w:rsidRPr="003928DC">
        <w:rPr>
          <w:rFonts w:ascii="Calibri" w:hAnsi="Calibri" w:cs="Arial"/>
          <w:b w:val="0"/>
          <w:i w:val="0"/>
          <w:szCs w:val="22"/>
        </w:rPr>
        <w:t xml:space="preserve"> </w:t>
      </w:r>
      <w:r w:rsidR="002F0ED4" w:rsidRPr="003928DC">
        <w:rPr>
          <w:rFonts w:ascii="Calibri" w:hAnsi="Calibri" w:cs="Arial"/>
          <w:b w:val="0"/>
          <w:i w:val="0"/>
          <w:szCs w:val="22"/>
        </w:rPr>
        <w:t xml:space="preserve">are: </w:t>
      </w:r>
    </w:p>
    <w:p w:rsidR="00872F7D" w:rsidRPr="003928DC" w:rsidRDefault="00872F7D" w:rsidP="00872F7D">
      <w:pPr>
        <w:pStyle w:val="BlockText"/>
        <w:ind w:right="87"/>
        <w:rPr>
          <w:rFonts w:ascii="Calibri" w:hAnsi="Calibri" w:cs="Arial"/>
          <w:b w:val="0"/>
          <w:i w:val="0"/>
          <w:szCs w:val="22"/>
        </w:rPr>
      </w:pP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promote a deep understanding of sustainability</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develop a critical analytical and reflective understanding of environmental change and the potential for sustainable environmental management</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 xml:space="preserve">To understand in particular the economic and legal frameworks promoting sustainable development and other drivers for sustainable behaviour at individual and corporate institutional and governmental levels </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appreciate the importance of a multidisciplinary approach to sustainability</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acquire the pertinent research skills to support sustainable development in diverse contexts</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be aware of global literature and research activity in the field of sustainability and environmental change and to be able to critically analyse these resources whether from academic, business, charitable agency or governmental sources</w:t>
      </w:r>
    </w:p>
    <w:p w:rsidR="00872F7D" w:rsidRPr="003928DC" w:rsidRDefault="00872F7D" w:rsidP="00872F7D">
      <w:pPr>
        <w:pStyle w:val="BlockText"/>
        <w:numPr>
          <w:ilvl w:val="0"/>
          <w:numId w:val="13"/>
        </w:numPr>
        <w:tabs>
          <w:tab w:val="clear" w:pos="1789"/>
          <w:tab w:val="num" w:pos="1080"/>
        </w:tabs>
        <w:ind w:left="1080" w:right="87"/>
        <w:rPr>
          <w:rFonts w:ascii="Calibri" w:hAnsi="Calibri" w:cs="Arial"/>
          <w:b w:val="0"/>
          <w:i w:val="0"/>
          <w:szCs w:val="22"/>
        </w:rPr>
      </w:pPr>
      <w:r w:rsidRPr="003928DC">
        <w:rPr>
          <w:rFonts w:ascii="Calibri" w:hAnsi="Calibri" w:cs="Arial"/>
          <w:b w:val="0"/>
          <w:i w:val="0"/>
          <w:szCs w:val="22"/>
        </w:rPr>
        <w:t>To produce graduates who able to innovate and to respond to new and emerging challenges and who can work effectively in changing  and unfamiliar situations and manage these sustainably.</w:t>
      </w:r>
    </w:p>
    <w:p w:rsidR="005B1266" w:rsidRPr="003928DC" w:rsidRDefault="005B1266" w:rsidP="005B1266">
      <w:pPr>
        <w:pStyle w:val="ListParagraph"/>
        <w:ind w:left="0"/>
        <w:rPr>
          <w:rFonts w:cs="Arial"/>
        </w:rPr>
      </w:pPr>
    </w:p>
    <w:p w:rsidR="005B1266" w:rsidRPr="003928DC" w:rsidRDefault="005B1266" w:rsidP="005B1266">
      <w:pPr>
        <w:pStyle w:val="ListParagraph"/>
        <w:numPr>
          <w:ilvl w:val="0"/>
          <w:numId w:val="1"/>
        </w:numPr>
        <w:spacing w:after="0" w:line="240" w:lineRule="auto"/>
        <w:rPr>
          <w:rFonts w:cs="Arial"/>
        </w:rPr>
      </w:pPr>
      <w:r w:rsidRPr="003928DC">
        <w:rPr>
          <w:rFonts w:cs="Arial"/>
          <w:b/>
        </w:rPr>
        <w:t>Intended Learning Outcomes</w:t>
      </w:r>
    </w:p>
    <w:p w:rsidR="005B1266" w:rsidRPr="003928DC" w:rsidRDefault="005B1266" w:rsidP="005B1266">
      <w:pPr>
        <w:spacing w:after="0" w:line="240" w:lineRule="auto"/>
        <w:rPr>
          <w:rFonts w:cs="Arial"/>
        </w:rPr>
      </w:pPr>
    </w:p>
    <w:p w:rsidR="00402286" w:rsidRPr="003928DC" w:rsidRDefault="00A425D4" w:rsidP="005B1266">
      <w:pPr>
        <w:spacing w:after="0" w:line="240" w:lineRule="auto"/>
        <w:rPr>
          <w:rFonts w:cs="Arial"/>
          <w:sz w:val="18"/>
          <w:szCs w:val="18"/>
        </w:rPr>
      </w:pPr>
      <w:r w:rsidRPr="003928DC">
        <w:rPr>
          <w:rFonts w:cs="Arial"/>
        </w:rPr>
        <w:t>The programme provides opportunities for students to develop and demonstrate knowledge and understanding, skills and other attributes in the following areas.  The programme outcomes are referenced to the revised Benchmark Statements for Earth Sciences, Environmental Sciences &amp; Environmental Studies (ES3) and Geography and Framework for Higher Education Qualifications in England, Wales and Northern Ireland (2008), and relate to the typical student.</w:t>
      </w:r>
    </w:p>
    <w:p w:rsidR="005B1266" w:rsidRPr="003928DC" w:rsidRDefault="005B1266" w:rsidP="005B1266">
      <w:pPr>
        <w:spacing w:after="0" w:line="240" w:lineRule="auto"/>
        <w:rPr>
          <w:rFonts w:cs="Arial"/>
        </w:rPr>
      </w:pPr>
    </w:p>
    <w:p w:rsidR="005B1266" w:rsidRPr="003928DC" w:rsidRDefault="005B1266" w:rsidP="005B1266">
      <w:pPr>
        <w:spacing w:after="0" w:line="240" w:lineRule="auto"/>
        <w:rPr>
          <w:rFonts w:cs="Arial"/>
        </w:rPr>
      </w:pPr>
    </w:p>
    <w:p w:rsidR="00E77E84" w:rsidRPr="003928DC" w:rsidRDefault="00E77E84" w:rsidP="005B1266">
      <w:pPr>
        <w:spacing w:after="0" w:line="240" w:lineRule="auto"/>
        <w:rPr>
          <w:rFonts w:cs="Arial"/>
        </w:rPr>
      </w:pPr>
    </w:p>
    <w:p w:rsidR="00E77E84" w:rsidRPr="003928DC" w:rsidRDefault="00E77E84" w:rsidP="005B1266">
      <w:pPr>
        <w:spacing w:after="0" w:line="240" w:lineRule="auto"/>
        <w:rPr>
          <w:rFonts w:cs="Arial"/>
        </w:rPr>
      </w:pPr>
    </w:p>
    <w:p w:rsidR="00E77E84" w:rsidRPr="003928DC" w:rsidRDefault="00E77E84" w:rsidP="005B1266">
      <w:pPr>
        <w:spacing w:after="0" w:line="240" w:lineRule="auto"/>
        <w:rPr>
          <w:rFonts w:cs="Arial"/>
        </w:rPr>
      </w:pPr>
    </w:p>
    <w:p w:rsidR="00E77E84" w:rsidRPr="003928DC" w:rsidRDefault="00E77E84" w:rsidP="005B1266">
      <w:pPr>
        <w:spacing w:after="0" w:line="240" w:lineRule="auto"/>
        <w:rPr>
          <w:rFonts w:cs="Arial"/>
        </w:rPr>
      </w:pPr>
    </w:p>
    <w:p w:rsidR="00E77E84" w:rsidRPr="003928DC" w:rsidRDefault="00E77E84" w:rsidP="005B1266">
      <w:pPr>
        <w:spacing w:after="0" w:line="240" w:lineRule="auto"/>
        <w:rPr>
          <w:rFonts w:cs="Arial"/>
        </w:rPr>
      </w:pPr>
    </w:p>
    <w:p w:rsidR="00234583" w:rsidRPr="003928DC" w:rsidRDefault="00234583" w:rsidP="00E77E84">
      <w:pPr>
        <w:ind w:left="720"/>
        <w:contextualSpacing/>
        <w:rPr>
          <w:sz w:val="20"/>
          <w:szCs w:val="20"/>
        </w:rPr>
        <w:sectPr w:rsidR="00234583" w:rsidRPr="003928DC" w:rsidSect="006127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3928D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jc w:val="center"/>
              <w:rPr>
                <w:rFonts w:cs="Arial"/>
                <w:b/>
                <w:sz w:val="20"/>
                <w:szCs w:val="20"/>
              </w:rPr>
            </w:pPr>
            <w:r w:rsidRPr="003928DC">
              <w:rPr>
                <w:rFonts w:cs="Arial"/>
                <w:b/>
                <w:sz w:val="20"/>
                <w:szCs w:val="20"/>
              </w:rPr>
              <w:lastRenderedPageBreak/>
              <w:t>Programme Learning Outcomes</w:t>
            </w:r>
          </w:p>
        </w:tc>
      </w:tr>
      <w:tr w:rsidR="00CA6EC8" w:rsidRPr="003928DC" w:rsidTr="00CA6EC8">
        <w:tc>
          <w:tcPr>
            <w:tcW w:w="675" w:type="dxa"/>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Knowledge and Understanding</w:t>
            </w:r>
          </w:p>
          <w:p w:rsidR="00CA6EC8" w:rsidRPr="003928DC" w:rsidRDefault="00CA6EC8" w:rsidP="00CA6EC8">
            <w:pPr>
              <w:spacing w:after="0" w:line="240" w:lineRule="auto"/>
              <w:rPr>
                <w:rFonts w:cs="Arial"/>
                <w:b/>
                <w:sz w:val="20"/>
                <w:szCs w:val="20"/>
              </w:rPr>
            </w:pPr>
          </w:p>
          <w:p w:rsidR="00CA6EC8" w:rsidRPr="003928DC" w:rsidRDefault="00CA6EC8" w:rsidP="0048142E">
            <w:pPr>
              <w:spacing w:after="0" w:line="240" w:lineRule="auto"/>
              <w:rPr>
                <w:rFonts w:cs="Arial"/>
                <w:sz w:val="20"/>
                <w:szCs w:val="20"/>
              </w:rPr>
            </w:pPr>
            <w:r w:rsidRPr="003928DC">
              <w:rPr>
                <w:rFonts w:cs="Arial"/>
                <w:b/>
                <w:sz w:val="20"/>
                <w:szCs w:val="20"/>
              </w:rPr>
              <w:t xml:space="preserve">On completion of the course students will </w:t>
            </w:r>
            <w:r w:rsidR="003C3ADD" w:rsidRPr="003928DC">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Intellectual skills – able to:</w:t>
            </w:r>
          </w:p>
          <w:p w:rsidR="00CA6EC8" w:rsidRPr="003928DC" w:rsidRDefault="00CA6EC8" w:rsidP="00CA6EC8">
            <w:pPr>
              <w:spacing w:after="0" w:line="240" w:lineRule="auto"/>
              <w:rPr>
                <w:rFonts w:cs="Arial"/>
                <w:b/>
                <w:sz w:val="20"/>
                <w:szCs w:val="20"/>
              </w:rPr>
            </w:pPr>
          </w:p>
          <w:p w:rsidR="00CA6EC8" w:rsidRPr="003928DC" w:rsidRDefault="00CA6EC8" w:rsidP="00CA6EC8">
            <w:pPr>
              <w:spacing w:after="0" w:line="240" w:lineRule="auto"/>
              <w:rPr>
                <w:rFonts w:cs="Arial"/>
                <w:b/>
                <w:sz w:val="20"/>
                <w:szCs w:val="20"/>
              </w:rPr>
            </w:pPr>
            <w:r w:rsidRPr="003928DC">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 xml:space="preserve">Subject Practical skills </w:t>
            </w:r>
          </w:p>
          <w:p w:rsidR="00CA6EC8" w:rsidRPr="003928DC" w:rsidRDefault="00CA6EC8" w:rsidP="00CA6EC8">
            <w:pPr>
              <w:spacing w:after="0" w:line="240" w:lineRule="auto"/>
              <w:rPr>
                <w:rFonts w:cs="Arial"/>
                <w:b/>
                <w:sz w:val="20"/>
                <w:szCs w:val="20"/>
              </w:rPr>
            </w:pPr>
          </w:p>
          <w:p w:rsidR="00CA6EC8" w:rsidRPr="003928DC" w:rsidRDefault="00CA6EC8" w:rsidP="00CA6EC8">
            <w:pPr>
              <w:spacing w:after="0" w:line="240" w:lineRule="auto"/>
              <w:rPr>
                <w:rFonts w:cs="Arial"/>
                <w:sz w:val="20"/>
                <w:szCs w:val="20"/>
              </w:rPr>
            </w:pPr>
            <w:r w:rsidRPr="003928DC">
              <w:rPr>
                <w:rFonts w:cs="Arial"/>
                <w:b/>
                <w:sz w:val="20"/>
                <w:szCs w:val="20"/>
              </w:rPr>
              <w:t>On completion of the course students will be able to:</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C0179" w:rsidP="00CA6EC8">
            <w:pPr>
              <w:spacing w:after="0" w:line="240" w:lineRule="auto"/>
              <w:rPr>
                <w:rFonts w:cs="Arial"/>
                <w:sz w:val="20"/>
                <w:szCs w:val="20"/>
              </w:rPr>
            </w:pPr>
            <w:r w:rsidRPr="003928DC">
              <w:rPr>
                <w:rFonts w:cs="Arial"/>
                <w:sz w:val="20"/>
                <w:szCs w:val="20"/>
              </w:rPr>
              <w:t>Demonstrate self–management and autonomy in the planning, organisation, analysis and execution of an independent research project</w:t>
            </w:r>
            <w:r w:rsidR="00134C24" w:rsidRPr="003928DC">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134C24" w:rsidP="00CA6EC8">
            <w:pPr>
              <w:spacing w:after="0" w:line="240" w:lineRule="auto"/>
              <w:rPr>
                <w:rFonts w:cs="Arial"/>
                <w:sz w:val="20"/>
                <w:szCs w:val="20"/>
              </w:rPr>
            </w:pPr>
            <w:r w:rsidRPr="003928DC">
              <w:rPr>
                <w:rFonts w:cs="Arial"/>
                <w:sz w:val="20"/>
                <w:szCs w:val="20"/>
              </w:rPr>
              <w:t xml:space="preserve">Be able to demonstrate appropriate skills and competence in the independent design management, completion and critical evaluation of a multidisciplinary research project. </w:t>
            </w: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277C95" w:rsidP="00CA6EC8">
            <w:pPr>
              <w:spacing w:after="0" w:line="240" w:lineRule="auto"/>
              <w:rPr>
                <w:rFonts w:cs="Arial"/>
                <w:sz w:val="20"/>
                <w:szCs w:val="20"/>
              </w:rPr>
            </w:pPr>
            <w:r w:rsidRPr="003928DC">
              <w:rPr>
                <w:rFonts w:cs="Arial"/>
                <w:sz w:val="20"/>
                <w:szCs w:val="20"/>
              </w:rPr>
              <w:t>Integrate research design and data collection and analysis methods from a diverse range of discipline areas.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C0179" w:rsidP="00CA6EC8">
            <w:pPr>
              <w:spacing w:after="0" w:line="240" w:lineRule="auto"/>
              <w:rPr>
                <w:rFonts w:cs="Arial"/>
                <w:sz w:val="20"/>
                <w:szCs w:val="20"/>
              </w:rPr>
            </w:pPr>
            <w:r w:rsidRPr="003928DC">
              <w:rPr>
                <w:rFonts w:cs="Arial"/>
                <w:sz w:val="20"/>
                <w:szCs w:val="20"/>
              </w:rPr>
              <w:t>Show a critical understanding of the multidisciplinary challenges characteristic of sustainability and environmental change and with reflection and recall integrate their theoretical and practical skills to respond to those challenges.</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134C24" w:rsidRPr="003928DC" w:rsidRDefault="00134C24" w:rsidP="00134C24">
            <w:pPr>
              <w:spacing w:after="0" w:line="264" w:lineRule="auto"/>
              <w:jc w:val="both"/>
              <w:rPr>
                <w:rFonts w:cs="Arial"/>
                <w:sz w:val="20"/>
                <w:szCs w:val="20"/>
              </w:rPr>
            </w:pPr>
            <w:r w:rsidRPr="003928DC">
              <w:rPr>
                <w:rFonts w:cs="Arial"/>
                <w:sz w:val="20"/>
                <w:szCs w:val="20"/>
              </w:rPr>
              <w:t xml:space="preserve">Be able to communicate concisely, orally and in writing, the findings of their research and to defend their work. </w:t>
            </w:r>
          </w:p>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277C95" w:rsidP="00CA6EC8">
            <w:pPr>
              <w:spacing w:after="0" w:line="240" w:lineRule="auto"/>
              <w:rPr>
                <w:rFonts w:cs="Arial"/>
                <w:sz w:val="20"/>
                <w:szCs w:val="20"/>
              </w:rPr>
            </w:pPr>
            <w:r w:rsidRPr="003928DC">
              <w:rPr>
                <w:rFonts w:cs="Arial"/>
                <w:sz w:val="20"/>
                <w:szCs w:val="20"/>
              </w:rPr>
              <w:t xml:space="preserve">Plan design and execute a sustained piece of research to a given timeframe and budget. </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C0179" w:rsidP="00CA6EC8">
            <w:pPr>
              <w:spacing w:after="0" w:line="240" w:lineRule="auto"/>
              <w:rPr>
                <w:rFonts w:cs="Arial"/>
                <w:sz w:val="20"/>
                <w:szCs w:val="20"/>
              </w:rPr>
            </w:pPr>
            <w:r w:rsidRPr="003928DC">
              <w:rPr>
                <w:rFonts w:cs="Arial"/>
                <w:sz w:val="20"/>
                <w:szCs w:val="20"/>
              </w:rPr>
              <w:t>Apply judgement, reflection and original thought to problem solving in a variety of contexts pertinent to sustainability, sustainable development and environmental change and to policy and management responses to environmental change and the perceived need for more sustainable approaches to resource use and development.</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916939" w:rsidP="00CA6EC8">
            <w:pPr>
              <w:spacing w:after="0" w:line="240" w:lineRule="auto"/>
              <w:rPr>
                <w:rFonts w:cs="Arial"/>
                <w:sz w:val="20"/>
                <w:szCs w:val="20"/>
              </w:rPr>
            </w:pPr>
            <w:r w:rsidRPr="003928DC">
              <w:rPr>
                <w:rFonts w:cs="Arial"/>
                <w:sz w:val="20"/>
                <w:szCs w:val="20"/>
              </w:rPr>
              <w:t>Demonstrate proficiency in the analysis, interpretation and presentation of complex research data and information.</w:t>
            </w: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277C95" w:rsidP="00CA6EC8">
            <w:pPr>
              <w:spacing w:after="0" w:line="240" w:lineRule="auto"/>
              <w:rPr>
                <w:rFonts w:cs="Arial"/>
                <w:sz w:val="20"/>
                <w:szCs w:val="20"/>
              </w:rPr>
            </w:pPr>
            <w:r w:rsidRPr="003928DC">
              <w:rPr>
                <w:rFonts w:cs="Arial"/>
                <w:sz w:val="20"/>
                <w:szCs w:val="20"/>
              </w:rPr>
              <w:t xml:space="preserve">Evaluate critically and interpret </w:t>
            </w:r>
            <w:proofErr w:type="gramStart"/>
            <w:r w:rsidRPr="003928DC">
              <w:rPr>
                <w:rFonts w:cs="Arial"/>
                <w:sz w:val="20"/>
                <w:szCs w:val="20"/>
              </w:rPr>
              <w:t>their own</w:t>
            </w:r>
            <w:proofErr w:type="gramEnd"/>
            <w:r w:rsidRPr="003928DC">
              <w:rPr>
                <w:rFonts w:cs="Arial"/>
                <w:sz w:val="20"/>
                <w:szCs w:val="20"/>
              </w:rPr>
              <w:t xml:space="preserve"> data in the light of current research.</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C0179" w:rsidRPr="003928DC" w:rsidRDefault="00CC0179" w:rsidP="00CC0179">
            <w:pPr>
              <w:spacing w:after="0" w:line="264" w:lineRule="auto"/>
              <w:jc w:val="both"/>
              <w:rPr>
                <w:rFonts w:cs="Arial"/>
                <w:sz w:val="20"/>
                <w:szCs w:val="20"/>
              </w:rPr>
            </w:pPr>
            <w:r w:rsidRPr="003928DC">
              <w:rPr>
                <w:rFonts w:cs="Arial"/>
                <w:sz w:val="20"/>
                <w:szCs w:val="20"/>
              </w:rPr>
              <w:t xml:space="preserve">Be able to reflect on and evaluate critically proposed policies and practices for more sustainable future development in a wider and more diverse range of socio-economic and geo-political contexts. </w:t>
            </w:r>
          </w:p>
          <w:p w:rsidR="00CA6EC8" w:rsidRPr="003928DC"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916939" w:rsidRPr="003928DC" w:rsidRDefault="00916939" w:rsidP="00916939">
            <w:pPr>
              <w:spacing w:after="0" w:line="264" w:lineRule="auto"/>
              <w:jc w:val="both"/>
              <w:rPr>
                <w:rFonts w:cs="Arial"/>
                <w:sz w:val="20"/>
                <w:szCs w:val="20"/>
              </w:rPr>
            </w:pPr>
            <w:r w:rsidRPr="003928DC">
              <w:rPr>
                <w:rFonts w:cs="Arial"/>
                <w:sz w:val="20"/>
                <w:szCs w:val="20"/>
              </w:rPr>
              <w:t xml:space="preserve">Have enhanced and deepened their multi-disciplinary understanding of sustainability issues and challenges. </w:t>
            </w:r>
          </w:p>
          <w:p w:rsidR="00CA6EC8" w:rsidRPr="003928DC" w:rsidRDefault="00CA6EC8"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277C95" w:rsidRPr="003928DC" w:rsidRDefault="00277C95" w:rsidP="00277C95">
            <w:pPr>
              <w:tabs>
                <w:tab w:val="left" w:pos="-1440"/>
                <w:tab w:val="left" w:pos="-720"/>
              </w:tabs>
              <w:suppressAutoHyphens/>
              <w:autoSpaceDE w:val="0"/>
              <w:autoSpaceDN w:val="0"/>
              <w:spacing w:after="0" w:line="240" w:lineRule="auto"/>
              <w:rPr>
                <w:rFonts w:cs="Arial"/>
                <w:sz w:val="20"/>
                <w:szCs w:val="20"/>
              </w:rPr>
            </w:pPr>
            <w:r w:rsidRPr="003928DC">
              <w:rPr>
                <w:rFonts w:cs="Arial"/>
                <w:sz w:val="20"/>
                <w:szCs w:val="20"/>
              </w:rPr>
              <w:t xml:space="preserve">Present and </w:t>
            </w:r>
            <w:r w:rsidR="00E21A78" w:rsidRPr="003928DC">
              <w:rPr>
                <w:rFonts w:cs="Arial"/>
                <w:sz w:val="20"/>
                <w:szCs w:val="20"/>
              </w:rPr>
              <w:t>defend their</w:t>
            </w:r>
            <w:r w:rsidRPr="003928DC">
              <w:rPr>
                <w:rFonts w:cs="Arial"/>
                <w:sz w:val="20"/>
                <w:szCs w:val="20"/>
              </w:rPr>
              <w:t xml:space="preserve"> findings concisely and effectively to lay and expert audiences using </w:t>
            </w:r>
            <w:proofErr w:type="gramStart"/>
            <w:r w:rsidRPr="003928DC">
              <w:rPr>
                <w:rFonts w:cs="Arial"/>
                <w:sz w:val="20"/>
                <w:szCs w:val="20"/>
              </w:rPr>
              <w:t>a  wide</w:t>
            </w:r>
            <w:proofErr w:type="gramEnd"/>
            <w:r w:rsidRPr="003928DC">
              <w:rPr>
                <w:rFonts w:cs="Arial"/>
                <w:sz w:val="20"/>
                <w:szCs w:val="20"/>
              </w:rPr>
              <w:t xml:space="preserve"> range of media.</w:t>
            </w:r>
          </w:p>
          <w:p w:rsidR="00CA6EC8" w:rsidRPr="003928DC" w:rsidRDefault="00CA6EC8" w:rsidP="003A7CA4">
            <w:pPr>
              <w:spacing w:after="0" w:line="240" w:lineRule="auto"/>
              <w:rPr>
                <w:rFonts w:cs="Arial"/>
                <w:sz w:val="20"/>
                <w:szCs w:val="20"/>
              </w:rPr>
            </w:pPr>
          </w:p>
        </w:tc>
      </w:tr>
      <w:tr w:rsidR="00CA6EC8" w:rsidRPr="003928D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jc w:val="center"/>
              <w:rPr>
                <w:rFonts w:cs="Arial"/>
                <w:b/>
                <w:sz w:val="20"/>
                <w:szCs w:val="20"/>
              </w:rPr>
            </w:pPr>
            <w:r w:rsidRPr="003928DC">
              <w:rPr>
                <w:rFonts w:cs="Arial"/>
                <w:b/>
                <w:sz w:val="20"/>
                <w:szCs w:val="20"/>
              </w:rPr>
              <w:t>Key Skills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proofErr w:type="spellStart"/>
            <w:r w:rsidRPr="003928DC">
              <w:rPr>
                <w:rFonts w:cs="Arial"/>
                <w:b/>
                <w:sz w:val="20"/>
                <w:szCs w:val="20"/>
              </w:rPr>
              <w:t>Self Awareness</w:t>
            </w:r>
            <w:proofErr w:type="spellEnd"/>
            <w:r w:rsidRPr="003928DC">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Interpersonal Skills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Work well  with others in a group or team</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 xml:space="preserve">Recognise own academic strengths and weaknesses, reflect on performance and </w:t>
            </w:r>
            <w:r w:rsidRPr="003928DC">
              <w:rPr>
                <w:rFonts w:cs="Arial"/>
                <w:sz w:val="20"/>
                <w:szCs w:val="20"/>
              </w:rPr>
              <w:lastRenderedPageBreak/>
              <w:t>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lastRenderedPageBreak/>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Work flexibly and respond to change</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Discuss and debate with others and make concession to reach agreement</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Give, accept and respond to constructive feedback</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Show sensitivity and respect for diverse values and beliefs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r w:rsidRPr="003928DC">
              <w:rPr>
                <w:rFonts w:cs="Arial"/>
                <w:b/>
                <w:sz w:val="20"/>
                <w:szCs w:val="20"/>
              </w:rPr>
              <w:t>Management &amp; Leadership Skills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Determine the scope of a task (or project)</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Identify resources needed to undertake the task (or project) and to schedule and manage the resources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Evidence ability to successfully complete and evaluate a task (or project), revising the plan where necessary</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Motivate and direct others to enable an effective contribution from all participants</w:t>
            </w: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r w:rsidRPr="003928DC">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3928DC" w:rsidRDefault="00CA6EC8" w:rsidP="00CA6EC8">
            <w:pPr>
              <w:spacing w:after="0" w:line="240" w:lineRule="auto"/>
              <w:rPr>
                <w:rFonts w:cs="Arial"/>
                <w:sz w:val="20"/>
                <w:szCs w:val="20"/>
              </w:rPr>
            </w:pP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r>
      <w:tr w:rsidR="00CA6EC8" w:rsidRPr="003928DC" w:rsidTr="00CA6EC8">
        <w:tc>
          <w:tcPr>
            <w:tcW w:w="675"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r w:rsidRPr="003928DC">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3928DC" w:rsidRDefault="00CA6EC8" w:rsidP="00CA6EC8">
            <w:pPr>
              <w:spacing w:after="0" w:line="240" w:lineRule="auto"/>
              <w:rPr>
                <w:rFonts w:cs="Arial"/>
                <w:sz w:val="20"/>
                <w:szCs w:val="20"/>
              </w:rPr>
            </w:pPr>
          </w:p>
        </w:tc>
      </w:tr>
      <w:tr w:rsidR="00CA6EC8" w:rsidRPr="003928D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sz w:val="20"/>
                <w:szCs w:val="20"/>
              </w:rPr>
            </w:pPr>
            <w:r w:rsidRPr="003928DC">
              <w:rPr>
                <w:b/>
                <w:sz w:val="20"/>
                <w:szCs w:val="20"/>
              </w:rPr>
              <w:t>Teaching/learning methods and strategies</w:t>
            </w:r>
          </w:p>
        </w:tc>
      </w:tr>
      <w:tr w:rsidR="00CA6EC8" w:rsidRPr="003928DC" w:rsidTr="00CA6EC8">
        <w:tc>
          <w:tcPr>
            <w:tcW w:w="14283" w:type="dxa"/>
            <w:gridSpan w:val="7"/>
            <w:tcBorders>
              <w:top w:val="single" w:sz="4" w:space="0" w:color="auto"/>
              <w:left w:val="single" w:sz="4" w:space="0" w:color="auto"/>
              <w:right w:val="single" w:sz="4" w:space="0" w:color="auto"/>
            </w:tcBorders>
          </w:tcPr>
          <w:p w:rsidR="00CA6EC8" w:rsidRPr="003928DC" w:rsidRDefault="00CA6EC8" w:rsidP="00CA6EC8">
            <w:pPr>
              <w:suppressAutoHyphens/>
              <w:spacing w:after="0" w:line="240" w:lineRule="auto"/>
              <w:jc w:val="both"/>
              <w:outlineLvl w:val="0"/>
              <w:rPr>
                <w:rFonts w:cs="Arial"/>
                <w:spacing w:val="-3"/>
                <w:sz w:val="20"/>
                <w:szCs w:val="20"/>
              </w:rPr>
            </w:pPr>
            <w:r w:rsidRPr="003928DC">
              <w:rPr>
                <w:rFonts w:cs="Arial"/>
                <w:spacing w:val="-3"/>
                <w:sz w:val="20"/>
                <w:szCs w:val="20"/>
              </w:rPr>
              <w:t xml:space="preserve">   The range of learning and teaching strategies includes</w:t>
            </w:r>
          </w:p>
        </w:tc>
      </w:tr>
      <w:tr w:rsidR="00CA6EC8" w:rsidRPr="003928DC" w:rsidTr="00CA6EC8">
        <w:tc>
          <w:tcPr>
            <w:tcW w:w="7141" w:type="dxa"/>
            <w:gridSpan w:val="4"/>
            <w:tcBorders>
              <w:left w:val="single" w:sz="4" w:space="0" w:color="auto"/>
            </w:tcBorders>
          </w:tcPr>
          <w:p w:rsidR="00CA6EC8" w:rsidRPr="003928DC" w:rsidRDefault="00F97D1B" w:rsidP="00F97D1B">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Formal lectures</w:t>
            </w:r>
          </w:p>
          <w:p w:rsidR="004A7345" w:rsidRPr="003928DC" w:rsidRDefault="004A7345" w:rsidP="004A7345">
            <w:pPr>
              <w:numPr>
                <w:ilvl w:val="0"/>
                <w:numId w:val="35"/>
              </w:numPr>
              <w:suppressAutoHyphens/>
              <w:spacing w:after="0" w:line="240" w:lineRule="auto"/>
              <w:jc w:val="both"/>
              <w:outlineLvl w:val="0"/>
              <w:rPr>
                <w:rFonts w:cs="Arial"/>
                <w:spacing w:val="-3"/>
                <w:sz w:val="20"/>
                <w:szCs w:val="20"/>
              </w:rPr>
            </w:pPr>
            <w:proofErr w:type="spellStart"/>
            <w:r w:rsidRPr="003928DC">
              <w:rPr>
                <w:rFonts w:cs="Arial"/>
                <w:spacing w:val="-3"/>
                <w:sz w:val="20"/>
                <w:szCs w:val="20"/>
              </w:rPr>
              <w:t>Practicals</w:t>
            </w:r>
            <w:proofErr w:type="spellEnd"/>
          </w:p>
          <w:p w:rsidR="00F97D1B" w:rsidRPr="003928DC" w:rsidRDefault="00F97D1B" w:rsidP="00F97D1B">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Role-playing</w:t>
            </w:r>
          </w:p>
          <w:p w:rsidR="00F97D1B" w:rsidRPr="003928DC" w:rsidRDefault="00F97D1B" w:rsidP="00F97D1B">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Guided team work activities</w:t>
            </w:r>
          </w:p>
        </w:tc>
        <w:tc>
          <w:tcPr>
            <w:tcW w:w="7142" w:type="dxa"/>
            <w:gridSpan w:val="3"/>
            <w:tcBorders>
              <w:right w:val="single" w:sz="4" w:space="0" w:color="auto"/>
            </w:tcBorders>
          </w:tcPr>
          <w:p w:rsidR="00CA6EC8" w:rsidRPr="003928DC" w:rsidRDefault="00F97D1B" w:rsidP="00F97D1B">
            <w:pPr>
              <w:numPr>
                <w:ilvl w:val="0"/>
                <w:numId w:val="35"/>
              </w:numPr>
              <w:suppressAutoHyphens/>
              <w:spacing w:after="0" w:line="240" w:lineRule="auto"/>
              <w:jc w:val="both"/>
              <w:outlineLvl w:val="0"/>
              <w:rPr>
                <w:rFonts w:cs="Arial"/>
                <w:sz w:val="20"/>
                <w:szCs w:val="20"/>
              </w:rPr>
            </w:pPr>
            <w:r w:rsidRPr="003928DC">
              <w:rPr>
                <w:rFonts w:cs="Arial"/>
                <w:sz w:val="20"/>
                <w:szCs w:val="20"/>
              </w:rPr>
              <w:t>Seminars and workshops</w:t>
            </w:r>
          </w:p>
          <w:p w:rsidR="00F97D1B" w:rsidRPr="003928DC" w:rsidRDefault="00F97D1B" w:rsidP="00F97D1B">
            <w:pPr>
              <w:numPr>
                <w:ilvl w:val="0"/>
                <w:numId w:val="35"/>
              </w:numPr>
              <w:suppressAutoHyphens/>
              <w:spacing w:after="0" w:line="240" w:lineRule="auto"/>
              <w:jc w:val="both"/>
              <w:outlineLvl w:val="0"/>
              <w:rPr>
                <w:rFonts w:cs="Arial"/>
                <w:sz w:val="20"/>
                <w:szCs w:val="20"/>
              </w:rPr>
            </w:pPr>
            <w:r w:rsidRPr="003928DC">
              <w:rPr>
                <w:rFonts w:cs="Arial"/>
                <w:sz w:val="20"/>
                <w:szCs w:val="20"/>
              </w:rPr>
              <w:t>Debate</w:t>
            </w:r>
          </w:p>
          <w:p w:rsidR="00F97D1B" w:rsidRPr="003928DC" w:rsidRDefault="00F97D1B" w:rsidP="00F97D1B">
            <w:pPr>
              <w:numPr>
                <w:ilvl w:val="0"/>
                <w:numId w:val="35"/>
              </w:numPr>
              <w:suppressAutoHyphens/>
              <w:spacing w:after="0" w:line="240" w:lineRule="auto"/>
              <w:jc w:val="both"/>
              <w:outlineLvl w:val="0"/>
              <w:rPr>
                <w:rFonts w:cs="Arial"/>
                <w:sz w:val="20"/>
                <w:szCs w:val="20"/>
              </w:rPr>
            </w:pPr>
            <w:r w:rsidRPr="003928DC">
              <w:rPr>
                <w:rFonts w:cs="Arial"/>
                <w:sz w:val="20"/>
                <w:szCs w:val="20"/>
              </w:rPr>
              <w:t>Module symposia</w:t>
            </w:r>
          </w:p>
          <w:p w:rsidR="00F97D1B" w:rsidRPr="003928DC" w:rsidRDefault="00F97D1B" w:rsidP="00F97D1B">
            <w:pPr>
              <w:numPr>
                <w:ilvl w:val="0"/>
                <w:numId w:val="35"/>
              </w:numPr>
              <w:suppressAutoHyphens/>
              <w:spacing w:after="0" w:line="240" w:lineRule="auto"/>
              <w:jc w:val="both"/>
              <w:outlineLvl w:val="0"/>
              <w:rPr>
                <w:rFonts w:cs="Arial"/>
                <w:sz w:val="20"/>
                <w:szCs w:val="20"/>
              </w:rPr>
            </w:pPr>
            <w:r w:rsidRPr="003928DC">
              <w:rPr>
                <w:rFonts w:cs="Arial"/>
                <w:sz w:val="20"/>
                <w:szCs w:val="20"/>
              </w:rPr>
              <w:t>Tutorials</w:t>
            </w:r>
          </w:p>
        </w:tc>
      </w:tr>
      <w:tr w:rsidR="00CA6EC8" w:rsidRPr="003928DC" w:rsidTr="00CA6EC8">
        <w:tc>
          <w:tcPr>
            <w:tcW w:w="14283" w:type="dxa"/>
            <w:gridSpan w:val="7"/>
            <w:tcBorders>
              <w:left w:val="single" w:sz="4" w:space="0" w:color="auto"/>
              <w:bottom w:val="single" w:sz="4" w:space="0" w:color="auto"/>
              <w:right w:val="single" w:sz="4" w:space="0" w:color="auto"/>
            </w:tcBorders>
            <w:shd w:val="clear" w:color="auto" w:fill="DBE5F1"/>
          </w:tcPr>
          <w:p w:rsidR="00CA6EC8" w:rsidRPr="003928DC" w:rsidRDefault="00CA6EC8" w:rsidP="00CA6EC8">
            <w:pPr>
              <w:spacing w:after="0" w:line="240" w:lineRule="auto"/>
              <w:rPr>
                <w:rFonts w:cs="Arial"/>
                <w:b/>
                <w:sz w:val="20"/>
                <w:szCs w:val="20"/>
              </w:rPr>
            </w:pPr>
            <w:r w:rsidRPr="003928DC">
              <w:rPr>
                <w:rFonts w:cs="Arial"/>
                <w:b/>
                <w:sz w:val="20"/>
                <w:szCs w:val="20"/>
              </w:rPr>
              <w:lastRenderedPageBreak/>
              <w:t>Assessment strategies</w:t>
            </w:r>
          </w:p>
        </w:tc>
      </w:tr>
      <w:tr w:rsidR="00EA1D31" w:rsidRPr="003928DC" w:rsidTr="00C61DF1">
        <w:tc>
          <w:tcPr>
            <w:tcW w:w="14283" w:type="dxa"/>
            <w:gridSpan w:val="7"/>
            <w:tcBorders>
              <w:top w:val="single" w:sz="4" w:space="0" w:color="auto"/>
              <w:left w:val="single" w:sz="4" w:space="0" w:color="auto"/>
              <w:right w:val="single" w:sz="4" w:space="0" w:color="auto"/>
            </w:tcBorders>
          </w:tcPr>
          <w:p w:rsidR="00EA1D31" w:rsidRPr="003928DC" w:rsidRDefault="00EA1D31" w:rsidP="00EA1D31">
            <w:pPr>
              <w:suppressAutoHyphens/>
              <w:spacing w:after="0" w:line="240" w:lineRule="auto"/>
              <w:jc w:val="both"/>
              <w:outlineLvl w:val="0"/>
              <w:rPr>
                <w:rFonts w:cs="Arial"/>
                <w:spacing w:val="-3"/>
                <w:sz w:val="20"/>
                <w:szCs w:val="20"/>
              </w:rPr>
            </w:pPr>
            <w:r w:rsidRPr="003928DC">
              <w:rPr>
                <w:rFonts w:cs="Arial"/>
                <w:spacing w:val="-3"/>
                <w:sz w:val="20"/>
                <w:szCs w:val="20"/>
              </w:rPr>
              <w:t xml:space="preserve">   The range of learning and teaching strategies includes</w:t>
            </w:r>
          </w:p>
        </w:tc>
      </w:tr>
      <w:tr w:rsidR="00EA1D31" w:rsidRPr="003928DC" w:rsidTr="00C61DF1">
        <w:tc>
          <w:tcPr>
            <w:tcW w:w="7141" w:type="dxa"/>
            <w:gridSpan w:val="4"/>
            <w:tcBorders>
              <w:left w:val="single" w:sz="4" w:space="0" w:color="auto"/>
            </w:tcBorders>
          </w:tcPr>
          <w:p w:rsidR="00EA1D31" w:rsidRPr="003928DC" w:rsidRDefault="00EA1D31" w:rsidP="00EA1D31">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Written examinations</w:t>
            </w:r>
          </w:p>
          <w:p w:rsidR="00760325" w:rsidRPr="003928DC" w:rsidRDefault="00760325" w:rsidP="00EA1D31">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In-class tests</w:t>
            </w:r>
          </w:p>
          <w:p w:rsidR="00EA1D31" w:rsidRPr="003928DC" w:rsidRDefault="00C61DF1" w:rsidP="00EA1D31">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Reports</w:t>
            </w:r>
          </w:p>
          <w:p w:rsidR="00EA1D31" w:rsidRPr="003928DC" w:rsidRDefault="00C61DF1" w:rsidP="00C61DF1">
            <w:pPr>
              <w:numPr>
                <w:ilvl w:val="0"/>
                <w:numId w:val="35"/>
              </w:numPr>
              <w:suppressAutoHyphens/>
              <w:spacing w:after="0" w:line="240" w:lineRule="auto"/>
              <w:jc w:val="both"/>
              <w:outlineLvl w:val="0"/>
              <w:rPr>
                <w:rFonts w:cs="Arial"/>
                <w:spacing w:val="-3"/>
                <w:sz w:val="20"/>
                <w:szCs w:val="20"/>
              </w:rPr>
            </w:pPr>
            <w:r w:rsidRPr="003928DC">
              <w:rPr>
                <w:rFonts w:cs="Arial"/>
                <w:spacing w:val="-3"/>
                <w:sz w:val="20"/>
                <w:szCs w:val="20"/>
              </w:rPr>
              <w:t>Case studies</w:t>
            </w:r>
          </w:p>
        </w:tc>
        <w:tc>
          <w:tcPr>
            <w:tcW w:w="7142" w:type="dxa"/>
            <w:gridSpan w:val="3"/>
            <w:tcBorders>
              <w:right w:val="single" w:sz="4" w:space="0" w:color="auto"/>
            </w:tcBorders>
          </w:tcPr>
          <w:p w:rsidR="00EA1D31" w:rsidRPr="003928DC" w:rsidRDefault="004A7345" w:rsidP="00EA1D31">
            <w:pPr>
              <w:numPr>
                <w:ilvl w:val="0"/>
                <w:numId w:val="35"/>
              </w:numPr>
              <w:suppressAutoHyphens/>
              <w:spacing w:after="0" w:line="240" w:lineRule="auto"/>
              <w:jc w:val="both"/>
              <w:outlineLvl w:val="0"/>
              <w:rPr>
                <w:rFonts w:cs="Arial"/>
                <w:sz w:val="20"/>
                <w:szCs w:val="20"/>
              </w:rPr>
            </w:pPr>
            <w:r w:rsidRPr="003928DC">
              <w:rPr>
                <w:rFonts w:cs="Arial"/>
                <w:sz w:val="20"/>
                <w:szCs w:val="20"/>
              </w:rPr>
              <w:t>Oral presentations</w:t>
            </w:r>
          </w:p>
          <w:p w:rsidR="00EA1D31" w:rsidRPr="003928DC" w:rsidRDefault="00C60D77" w:rsidP="00EA1D31">
            <w:pPr>
              <w:numPr>
                <w:ilvl w:val="0"/>
                <w:numId w:val="35"/>
              </w:numPr>
              <w:suppressAutoHyphens/>
              <w:spacing w:after="0" w:line="240" w:lineRule="auto"/>
              <w:jc w:val="both"/>
              <w:outlineLvl w:val="0"/>
              <w:rPr>
                <w:rFonts w:cs="Arial"/>
                <w:sz w:val="20"/>
                <w:szCs w:val="20"/>
              </w:rPr>
            </w:pPr>
            <w:r w:rsidRPr="003928DC">
              <w:rPr>
                <w:rFonts w:cs="Arial"/>
                <w:sz w:val="20"/>
                <w:szCs w:val="20"/>
              </w:rPr>
              <w:t>Research projects</w:t>
            </w:r>
          </w:p>
          <w:p w:rsidR="00EA1D31" w:rsidRPr="003928DC" w:rsidRDefault="00C60D77" w:rsidP="00EA1D31">
            <w:pPr>
              <w:numPr>
                <w:ilvl w:val="0"/>
                <w:numId w:val="35"/>
              </w:numPr>
              <w:suppressAutoHyphens/>
              <w:spacing w:after="0" w:line="240" w:lineRule="auto"/>
              <w:jc w:val="both"/>
              <w:outlineLvl w:val="0"/>
              <w:rPr>
                <w:rFonts w:cs="Arial"/>
                <w:sz w:val="20"/>
                <w:szCs w:val="20"/>
              </w:rPr>
            </w:pPr>
            <w:r w:rsidRPr="003928DC">
              <w:rPr>
                <w:rFonts w:cs="Arial"/>
                <w:sz w:val="20"/>
                <w:szCs w:val="20"/>
              </w:rPr>
              <w:t>Essays</w:t>
            </w:r>
          </w:p>
          <w:p w:rsidR="00760325" w:rsidRPr="003928DC" w:rsidRDefault="00760325" w:rsidP="00EA1D31">
            <w:pPr>
              <w:numPr>
                <w:ilvl w:val="0"/>
                <w:numId w:val="35"/>
              </w:numPr>
              <w:suppressAutoHyphens/>
              <w:spacing w:after="0" w:line="240" w:lineRule="auto"/>
              <w:jc w:val="both"/>
              <w:outlineLvl w:val="0"/>
              <w:rPr>
                <w:rFonts w:cs="Arial"/>
                <w:sz w:val="20"/>
                <w:szCs w:val="20"/>
              </w:rPr>
            </w:pPr>
            <w:r w:rsidRPr="003928DC">
              <w:rPr>
                <w:rFonts w:cs="Arial"/>
                <w:sz w:val="20"/>
                <w:szCs w:val="20"/>
              </w:rPr>
              <w:t>Projects</w:t>
            </w:r>
          </w:p>
          <w:p w:rsidR="00EA1D31" w:rsidRPr="003928DC" w:rsidRDefault="00EA1D31" w:rsidP="00C60D77">
            <w:pPr>
              <w:suppressAutoHyphens/>
              <w:spacing w:after="0" w:line="240" w:lineRule="auto"/>
              <w:ind w:left="1080"/>
              <w:jc w:val="both"/>
              <w:outlineLvl w:val="0"/>
              <w:rPr>
                <w:rFonts w:cs="Arial"/>
                <w:sz w:val="20"/>
                <w:szCs w:val="20"/>
              </w:rPr>
            </w:pPr>
          </w:p>
        </w:tc>
      </w:tr>
      <w:tr w:rsidR="00CA6EC8" w:rsidRPr="003928DC" w:rsidTr="00CA6EC8">
        <w:tc>
          <w:tcPr>
            <w:tcW w:w="7141" w:type="dxa"/>
            <w:gridSpan w:val="4"/>
            <w:tcBorders>
              <w:left w:val="single" w:sz="4" w:space="0" w:color="auto"/>
              <w:bottom w:val="single" w:sz="4" w:space="0" w:color="auto"/>
            </w:tcBorders>
          </w:tcPr>
          <w:p w:rsidR="00CA6EC8" w:rsidRPr="003928DC" w:rsidRDefault="00CA6EC8" w:rsidP="00B62E30">
            <w:pPr>
              <w:suppressAutoHyphens/>
              <w:spacing w:after="0" w:line="240" w:lineRule="auto"/>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CA6EC8" w:rsidRPr="003928DC" w:rsidRDefault="00CA6EC8" w:rsidP="003A7CA4">
            <w:pPr>
              <w:suppressAutoHyphens/>
              <w:spacing w:after="0" w:line="240" w:lineRule="auto"/>
              <w:jc w:val="both"/>
              <w:outlineLvl w:val="0"/>
              <w:rPr>
                <w:rFonts w:cs="Arial"/>
                <w:spacing w:val="-3"/>
                <w:sz w:val="20"/>
                <w:szCs w:val="20"/>
              </w:rPr>
            </w:pPr>
          </w:p>
        </w:tc>
      </w:tr>
    </w:tbl>
    <w:p w:rsidR="00234583" w:rsidRPr="003928DC" w:rsidRDefault="00234583" w:rsidP="005B1266">
      <w:pPr>
        <w:spacing w:after="0" w:line="240" w:lineRule="auto"/>
        <w:rPr>
          <w:rFonts w:cs="Arial"/>
          <w:b/>
        </w:rPr>
        <w:sectPr w:rsidR="00234583" w:rsidRPr="003928DC" w:rsidSect="00A03A7B">
          <w:pgSz w:w="16838" w:h="11906" w:orient="landscape"/>
          <w:pgMar w:top="1440" w:right="1440" w:bottom="1440" w:left="1440" w:header="709" w:footer="709" w:gutter="0"/>
          <w:cols w:space="708"/>
          <w:docGrid w:linePitch="360"/>
        </w:sectPr>
      </w:pPr>
    </w:p>
    <w:p w:rsidR="005B1266" w:rsidRPr="003928DC" w:rsidRDefault="005B1266" w:rsidP="005B1266">
      <w:pPr>
        <w:numPr>
          <w:ilvl w:val="0"/>
          <w:numId w:val="1"/>
        </w:numPr>
        <w:spacing w:after="0" w:line="240" w:lineRule="auto"/>
        <w:rPr>
          <w:rFonts w:cs="Arial"/>
        </w:rPr>
      </w:pPr>
      <w:r w:rsidRPr="003928DC">
        <w:rPr>
          <w:rFonts w:cs="Arial"/>
          <w:b/>
        </w:rPr>
        <w:lastRenderedPageBreak/>
        <w:t>Entry Requirements</w:t>
      </w:r>
    </w:p>
    <w:p w:rsidR="005B1266" w:rsidRPr="003928DC" w:rsidRDefault="005B1266" w:rsidP="005B1266">
      <w:pPr>
        <w:spacing w:after="0" w:line="240" w:lineRule="auto"/>
        <w:rPr>
          <w:rFonts w:cs="Arial"/>
          <w:b/>
        </w:rPr>
      </w:pPr>
    </w:p>
    <w:p w:rsidR="005B1266" w:rsidRPr="003928DC" w:rsidRDefault="005B1266" w:rsidP="00316631">
      <w:pPr>
        <w:spacing w:after="0" w:line="240" w:lineRule="auto"/>
        <w:jc w:val="both"/>
        <w:rPr>
          <w:rFonts w:cs="Arial"/>
        </w:rPr>
      </w:pPr>
      <w:r w:rsidRPr="003928DC">
        <w:rPr>
          <w:rFonts w:cs="Arial"/>
        </w:rPr>
        <w:t>The minimum entry qualifications for the programme are:</w:t>
      </w:r>
    </w:p>
    <w:p w:rsidR="004A0D61" w:rsidRPr="003928DC" w:rsidRDefault="004A0D61" w:rsidP="00316631">
      <w:pPr>
        <w:spacing w:after="0" w:line="240" w:lineRule="auto"/>
        <w:jc w:val="both"/>
        <w:rPr>
          <w:rFonts w:cs="Arial"/>
        </w:rPr>
      </w:pPr>
    </w:p>
    <w:p w:rsidR="00680ED7" w:rsidRPr="003928DC" w:rsidRDefault="00680ED7" w:rsidP="00316631">
      <w:pPr>
        <w:jc w:val="both"/>
        <w:rPr>
          <w:rFonts w:cs="Arial"/>
        </w:rPr>
      </w:pPr>
      <w:r w:rsidRPr="003928DC">
        <w:rPr>
          <w:rFonts w:cs="Arial"/>
        </w:rPr>
        <w:t>A good honours degree (</w:t>
      </w:r>
      <w:r w:rsidRPr="003928DC">
        <w:rPr>
          <w:rFonts w:cs="Arial"/>
          <w:i/>
        </w:rPr>
        <w:t xml:space="preserve">normally </w:t>
      </w:r>
      <w:r w:rsidRPr="003928DC">
        <w:rPr>
          <w:rFonts w:cs="Arial"/>
        </w:rPr>
        <w:t>2.2 or better) or equivalent</w:t>
      </w:r>
      <w:r w:rsidR="003F2E73" w:rsidRPr="003928DC">
        <w:rPr>
          <w:rFonts w:cs="Arial"/>
        </w:rPr>
        <w:t xml:space="preserve"> in a relevant discipline, such as </w:t>
      </w:r>
      <w:r w:rsidR="003F2E73" w:rsidRPr="003928DC">
        <w:t>Geography, Earth, Environmental, or Biological Sciences as the major field(s) of study</w:t>
      </w:r>
      <w:r w:rsidRPr="003928DC">
        <w:rPr>
          <w:rFonts w:cs="Arial"/>
        </w:rPr>
        <w:t xml:space="preserve"> or a relevant professional qualification, with suitable work experience</w:t>
      </w:r>
      <w:r w:rsidR="003F2E73" w:rsidRPr="003928DC">
        <w:rPr>
          <w:rFonts w:cs="Arial"/>
        </w:rPr>
        <w:t xml:space="preserve">. </w:t>
      </w:r>
    </w:p>
    <w:p w:rsidR="003F2E73" w:rsidRPr="003928DC" w:rsidRDefault="003F2E73" w:rsidP="00316631">
      <w:pPr>
        <w:jc w:val="both"/>
        <w:rPr>
          <w:rFonts w:cs="Arial"/>
        </w:rPr>
      </w:pPr>
      <w:r w:rsidRPr="003928DC">
        <w:rPr>
          <w:rFonts w:cs="Arial"/>
        </w:rPr>
        <w:t>Work Experience: Where applicants have relevant work experience and/or professional qualifications in the field of sustainability or related fields may be presented for evaluation against Kingston University’s mechanisms and processes for Accreditation of Prior Certificated Learning (APCL) and Accreditation of Prior Experiential Learning (APEL).</w:t>
      </w:r>
    </w:p>
    <w:p w:rsidR="005B1266" w:rsidRPr="003928DC" w:rsidRDefault="00680ED7" w:rsidP="00316631">
      <w:pPr>
        <w:spacing w:after="0" w:line="240" w:lineRule="auto"/>
        <w:jc w:val="both"/>
        <w:rPr>
          <w:rFonts w:cs="Arial"/>
        </w:rPr>
      </w:pPr>
      <w:r w:rsidRPr="003928DC">
        <w:rPr>
          <w:rFonts w:cs="Arial"/>
        </w:rPr>
        <w:t>International students for whom English is not the first language, will also be required to have achieved an IELTS English language qualification with a score of 6.5 or above including a minimum score of 6.0 in writing</w:t>
      </w:r>
      <w:r w:rsidR="004A0D61" w:rsidRPr="003928DC">
        <w:rPr>
          <w:rFonts w:cs="Arial"/>
        </w:rPr>
        <w:t xml:space="preserve"> and 5.5 in reading, listening and speaking</w:t>
      </w:r>
      <w:r w:rsidR="003F2E73" w:rsidRPr="003928DC">
        <w:rPr>
          <w:rFonts w:cs="Arial"/>
        </w:rPr>
        <w:t xml:space="preserve">; </w:t>
      </w:r>
      <w:r w:rsidR="004A0D61" w:rsidRPr="003928DC">
        <w:rPr>
          <w:rFonts w:cs="Arial"/>
        </w:rPr>
        <w:t>TOEFL 88 (minimum of 20/30 in writing; 20/30 for reading; 17/30 for listening and 20/30 in speaking)</w:t>
      </w:r>
      <w:r w:rsidR="005B1266" w:rsidRPr="003928DC">
        <w:rPr>
          <w:rFonts w:cs="Arial"/>
        </w:rPr>
        <w:t xml:space="preserve"> or equivalent is required for those for whom English is not their first language.</w:t>
      </w:r>
    </w:p>
    <w:p w:rsidR="005B1266" w:rsidRPr="003928DC" w:rsidRDefault="005B1266" w:rsidP="00316631">
      <w:pPr>
        <w:spacing w:after="0" w:line="240" w:lineRule="auto"/>
        <w:jc w:val="both"/>
        <w:rPr>
          <w:rFonts w:cs="Arial"/>
        </w:rPr>
      </w:pPr>
      <w:r w:rsidRPr="003928DC">
        <w:rPr>
          <w:rFonts w:cs="Arial"/>
          <w:b/>
        </w:rPr>
        <w:tab/>
      </w:r>
      <w:r w:rsidRPr="003928DC">
        <w:rPr>
          <w:rFonts w:cs="Arial"/>
          <w:b/>
        </w:rPr>
        <w:tab/>
      </w:r>
    </w:p>
    <w:p w:rsidR="005B1266" w:rsidRPr="003928DC" w:rsidRDefault="005B1266" w:rsidP="00316631">
      <w:pPr>
        <w:numPr>
          <w:ilvl w:val="0"/>
          <w:numId w:val="1"/>
        </w:numPr>
        <w:spacing w:after="0" w:line="240" w:lineRule="auto"/>
        <w:jc w:val="both"/>
        <w:rPr>
          <w:rFonts w:cs="Arial"/>
          <w:b/>
        </w:rPr>
      </w:pPr>
      <w:r w:rsidRPr="003928DC">
        <w:rPr>
          <w:rFonts w:cs="Arial"/>
          <w:b/>
        </w:rPr>
        <w:t>Programme Structure</w:t>
      </w:r>
    </w:p>
    <w:p w:rsidR="005B1266" w:rsidRPr="003928DC" w:rsidRDefault="005B1266" w:rsidP="00316631">
      <w:pPr>
        <w:spacing w:after="0" w:line="240" w:lineRule="auto"/>
        <w:jc w:val="both"/>
        <w:rPr>
          <w:rFonts w:cs="Arial"/>
          <w:b/>
        </w:rPr>
      </w:pPr>
    </w:p>
    <w:p w:rsidR="005B1266" w:rsidRPr="003928DC" w:rsidRDefault="00BD24D7" w:rsidP="00316631">
      <w:pPr>
        <w:spacing w:after="0" w:line="240" w:lineRule="auto"/>
        <w:jc w:val="both"/>
        <w:rPr>
          <w:rFonts w:cs="Arial"/>
          <w:color w:val="FF0000"/>
        </w:rPr>
      </w:pPr>
      <w:r w:rsidRPr="003928DC">
        <w:rPr>
          <w:rFonts w:cs="Arial"/>
        </w:rPr>
        <w:t xml:space="preserve">The full time mode of the MSc in Sustainability, Environment and Change </w:t>
      </w:r>
      <w:r w:rsidRPr="003928DC">
        <w:rPr>
          <w:rFonts w:cs="Arial"/>
          <w:i/>
        </w:rPr>
        <w:t xml:space="preserve">normally </w:t>
      </w:r>
      <w:r w:rsidRPr="003928DC">
        <w:rPr>
          <w:rFonts w:cs="Arial"/>
        </w:rPr>
        <w:t>takes a full calendar year (12 months) study and the part time mode takes a minimum 24 months to complete. The taught element is spread over 2 semesters; the Dissertation/Masters Project module including the Conference element are taken over the summer with the Conference taking place in mid-September, though preparatory work may be undertaken ahead of this  time period.</w:t>
      </w:r>
    </w:p>
    <w:p w:rsidR="00316D9A" w:rsidRPr="003928DC" w:rsidRDefault="00316D9A" w:rsidP="00316631">
      <w:pPr>
        <w:spacing w:after="0" w:line="240" w:lineRule="auto"/>
        <w:jc w:val="both"/>
        <w:rPr>
          <w:rFonts w:cs="Arial"/>
        </w:rPr>
      </w:pPr>
    </w:p>
    <w:p w:rsidR="005B1266" w:rsidRPr="003928DC" w:rsidRDefault="005B1266" w:rsidP="00316631">
      <w:pPr>
        <w:spacing w:after="0" w:line="240" w:lineRule="auto"/>
        <w:jc w:val="both"/>
        <w:rPr>
          <w:rFonts w:cs="Arial"/>
          <w:b/>
        </w:rPr>
      </w:pPr>
      <w:r w:rsidRPr="003928DC">
        <w:rPr>
          <w:rFonts w:cs="Arial"/>
          <w:b/>
        </w:rPr>
        <w:t>E3.</w:t>
      </w:r>
      <w:r w:rsidRPr="003928DC">
        <w:rPr>
          <w:rFonts w:cs="Arial"/>
          <w:b/>
        </w:rPr>
        <w:tab/>
        <w:t>Outline Programme Structure</w:t>
      </w:r>
    </w:p>
    <w:p w:rsidR="005B1266" w:rsidRPr="003928DC" w:rsidRDefault="005B1266" w:rsidP="00316631">
      <w:pPr>
        <w:spacing w:after="0" w:line="240" w:lineRule="auto"/>
        <w:jc w:val="both"/>
        <w:rPr>
          <w:rFonts w:cs="Arial"/>
          <w:i/>
        </w:rPr>
      </w:pPr>
    </w:p>
    <w:p w:rsidR="00F622DA" w:rsidRPr="003928DC" w:rsidRDefault="005B1266" w:rsidP="00316631">
      <w:pPr>
        <w:spacing w:after="0" w:line="240" w:lineRule="auto"/>
        <w:jc w:val="both"/>
        <w:rPr>
          <w:rFonts w:cs="Arial"/>
          <w:color w:val="FF0000"/>
        </w:rPr>
      </w:pPr>
      <w:r w:rsidRPr="003928DC">
        <w:rPr>
          <w:rFonts w:cs="Arial"/>
        </w:rPr>
        <w:t xml:space="preserve">Each level is made up of </w:t>
      </w:r>
      <w:r w:rsidR="00126B0B" w:rsidRPr="003928DC">
        <w:rPr>
          <w:rFonts w:cs="Arial"/>
        </w:rPr>
        <w:t>five</w:t>
      </w:r>
      <w:r w:rsidRPr="003928DC">
        <w:rPr>
          <w:rFonts w:cs="Arial"/>
        </w:rPr>
        <w:t xml:space="preserve"> modules each worth 30 credit points.  Typically a student must complete 120 credits </w:t>
      </w:r>
      <w:r w:rsidR="00126B0B" w:rsidRPr="003928DC">
        <w:rPr>
          <w:rFonts w:cs="Arial"/>
        </w:rPr>
        <w:t>in the taught programme.  They must then complete a dissertation worth 60 credit points</w:t>
      </w:r>
      <w:r w:rsidRPr="003928DC">
        <w:rPr>
          <w:rFonts w:cs="Arial"/>
        </w:rPr>
        <w:t>.    All students will be provided with the University regulations.  Full details of each module will be provided in module descriptors and student module guides.</w:t>
      </w:r>
      <w:r w:rsidR="00F838B0" w:rsidRPr="003928DC">
        <w:rPr>
          <w:rFonts w:cs="Arial"/>
        </w:rPr>
        <w:t xml:space="preserve">  </w:t>
      </w:r>
    </w:p>
    <w:p w:rsidR="00F43FE8" w:rsidRPr="003928DC" w:rsidRDefault="00F43FE8" w:rsidP="005B1266">
      <w:pPr>
        <w:spacing w:after="0" w:line="240" w:lineRule="auto"/>
        <w:rPr>
          <w:rFonts w:cs="Arial"/>
          <w:color w:val="FF0000"/>
        </w:rPr>
      </w:pPr>
    </w:p>
    <w:p w:rsidR="00316D9A" w:rsidRPr="003928DC" w:rsidRDefault="00316D9A" w:rsidP="005B1266">
      <w:pPr>
        <w:spacing w:after="0" w:line="240" w:lineRule="auto"/>
        <w:rPr>
          <w:rFonts w:cs="Arial"/>
          <w:color w:val="FF0000"/>
        </w:rPr>
      </w:pPr>
    </w:p>
    <w:tbl>
      <w:tblPr>
        <w:tblW w:w="9335" w:type="dxa"/>
        <w:tblBorders>
          <w:insideH w:val="single" w:sz="4" w:space="0" w:color="auto"/>
          <w:insideV w:val="single" w:sz="4" w:space="0" w:color="auto"/>
        </w:tblBorders>
        <w:tblLayout w:type="fixed"/>
        <w:tblLook w:val="04A0" w:firstRow="1" w:lastRow="0" w:firstColumn="1" w:lastColumn="0" w:noHBand="0" w:noVBand="1"/>
      </w:tblPr>
      <w:tblGrid>
        <w:gridCol w:w="3661"/>
        <w:gridCol w:w="1863"/>
        <w:gridCol w:w="1215"/>
        <w:gridCol w:w="1127"/>
        <w:gridCol w:w="1456"/>
        <w:gridCol w:w="13"/>
      </w:tblGrid>
      <w:tr w:rsidR="0096116F" w:rsidRPr="003928DC" w:rsidTr="005D5B51">
        <w:trPr>
          <w:gridAfter w:val="1"/>
          <w:wAfter w:w="13" w:type="dxa"/>
          <w:trHeight w:val="153"/>
        </w:trPr>
        <w:tc>
          <w:tcPr>
            <w:tcW w:w="9322" w:type="dxa"/>
            <w:gridSpan w:val="5"/>
            <w:tcBorders>
              <w:bottom w:val="nil"/>
            </w:tcBorders>
            <w:shd w:val="clear" w:color="auto" w:fill="DBE5F1"/>
          </w:tcPr>
          <w:p w:rsidR="0096116F" w:rsidRPr="003928DC" w:rsidRDefault="0096116F" w:rsidP="0096116F">
            <w:pPr>
              <w:spacing w:after="0" w:line="240" w:lineRule="auto"/>
              <w:rPr>
                <w:rFonts w:cs="Arial"/>
                <w:sz w:val="20"/>
                <w:szCs w:val="20"/>
              </w:rPr>
            </w:pPr>
            <w:r w:rsidRPr="003928DC">
              <w:rPr>
                <w:rFonts w:cs="Arial"/>
                <w:b/>
                <w:sz w:val="20"/>
                <w:szCs w:val="20"/>
              </w:rPr>
              <w:t xml:space="preserve">Level 7 </w:t>
            </w:r>
          </w:p>
        </w:tc>
      </w:tr>
      <w:tr w:rsidR="005D5B51" w:rsidRPr="003928DC" w:rsidTr="005D5B51">
        <w:trPr>
          <w:trHeight w:val="287"/>
        </w:trPr>
        <w:tc>
          <w:tcPr>
            <w:tcW w:w="3661" w:type="dxa"/>
            <w:tcBorders>
              <w:top w:val="single" w:sz="4" w:space="0" w:color="auto"/>
              <w:bottom w:val="single" w:sz="4" w:space="0" w:color="auto"/>
              <w:right w:val="single" w:sz="4" w:space="0" w:color="auto"/>
            </w:tcBorders>
          </w:tcPr>
          <w:p w:rsidR="005D5B51" w:rsidRPr="003928DC" w:rsidRDefault="005D5B51" w:rsidP="00EC76F9">
            <w:pPr>
              <w:spacing w:after="0" w:line="240" w:lineRule="auto"/>
              <w:rPr>
                <w:rFonts w:cs="Arial"/>
                <w:b/>
                <w:sz w:val="20"/>
                <w:szCs w:val="20"/>
              </w:rPr>
            </w:pPr>
            <w:r w:rsidRPr="003928DC">
              <w:rPr>
                <w:rFonts w:cs="Arial"/>
                <w:b/>
                <w:sz w:val="20"/>
                <w:szCs w:val="20"/>
              </w:rPr>
              <w:t>Compulsory modules</w:t>
            </w:r>
          </w:p>
          <w:p w:rsidR="005D5B51" w:rsidRPr="003928DC" w:rsidRDefault="005D5B51" w:rsidP="00EC76F9">
            <w:pPr>
              <w:spacing w:after="0" w:line="240" w:lineRule="auto"/>
              <w:rPr>
                <w:rFonts w:cs="Arial"/>
                <w:b/>
                <w:sz w:val="20"/>
                <w:szCs w:val="20"/>
              </w:rPr>
            </w:pP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b/>
                <w:sz w:val="20"/>
                <w:szCs w:val="20"/>
              </w:rPr>
            </w:pPr>
            <w:r w:rsidRPr="003928DC">
              <w:rPr>
                <w:rFonts w:cs="Arial"/>
                <w:b/>
                <w:sz w:val="20"/>
                <w:szCs w:val="20"/>
              </w:rPr>
              <w:t>Module code</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b/>
                <w:sz w:val="20"/>
                <w:szCs w:val="20"/>
              </w:rPr>
            </w:pPr>
            <w:r w:rsidRPr="003928DC">
              <w:rPr>
                <w:rFonts w:cs="Arial"/>
                <w:b/>
                <w:sz w:val="20"/>
                <w:szCs w:val="20"/>
              </w:rPr>
              <w:t xml:space="preserve">Credit </w:t>
            </w:r>
          </w:p>
          <w:p w:rsidR="005D5B51" w:rsidRPr="003928DC" w:rsidRDefault="005D5B51" w:rsidP="00EC76F9">
            <w:pPr>
              <w:spacing w:after="0" w:line="240" w:lineRule="auto"/>
              <w:jc w:val="center"/>
              <w:rPr>
                <w:rFonts w:cs="Arial"/>
                <w:b/>
                <w:sz w:val="20"/>
                <w:szCs w:val="20"/>
              </w:rPr>
            </w:pPr>
            <w:r w:rsidRPr="003928DC">
              <w:rPr>
                <w:rFonts w:cs="Arial"/>
                <w:b/>
                <w:sz w:val="20"/>
                <w:szCs w:val="20"/>
              </w:rPr>
              <w:t>Value</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b/>
                <w:sz w:val="20"/>
                <w:szCs w:val="20"/>
              </w:rPr>
            </w:pPr>
            <w:r w:rsidRPr="003928DC">
              <w:rPr>
                <w:rFonts w:cs="Arial"/>
                <w:b/>
                <w:sz w:val="20"/>
                <w:szCs w:val="20"/>
              </w:rPr>
              <w:t xml:space="preserve">Level </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b/>
                <w:sz w:val="20"/>
                <w:szCs w:val="20"/>
              </w:rPr>
            </w:pPr>
            <w:r w:rsidRPr="003928DC">
              <w:rPr>
                <w:rFonts w:cs="Arial"/>
                <w:b/>
                <w:sz w:val="20"/>
                <w:szCs w:val="20"/>
              </w:rPr>
              <w:t>Teaching Block</w:t>
            </w:r>
          </w:p>
        </w:tc>
      </w:tr>
      <w:tr w:rsidR="005D5B51" w:rsidRPr="003928DC" w:rsidTr="005D5B51">
        <w:trPr>
          <w:trHeight w:val="297"/>
        </w:trPr>
        <w:tc>
          <w:tcPr>
            <w:tcW w:w="3661" w:type="dxa"/>
            <w:tcBorders>
              <w:top w:val="single" w:sz="4" w:space="0" w:color="auto"/>
              <w:bottom w:val="single" w:sz="4" w:space="0" w:color="auto"/>
              <w:right w:val="single" w:sz="4" w:space="0" w:color="auto"/>
            </w:tcBorders>
          </w:tcPr>
          <w:p w:rsidR="005D5B51" w:rsidRPr="003928DC" w:rsidRDefault="005D5B51" w:rsidP="0082218D">
            <w:pPr>
              <w:spacing w:after="0" w:line="240" w:lineRule="auto"/>
              <w:rPr>
                <w:rFonts w:cs="Arial"/>
                <w:sz w:val="20"/>
                <w:szCs w:val="20"/>
              </w:rPr>
            </w:pPr>
            <w:r w:rsidRPr="003928DC">
              <w:rPr>
                <w:rFonts w:cs="Arial"/>
                <w:sz w:val="20"/>
                <w:szCs w:val="20"/>
              </w:rPr>
              <w:t>The challenge of Climate Change</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sidRPr="003928DC">
              <w:rPr>
                <w:rFonts w:cs="Arial"/>
                <w:sz w:val="20"/>
                <w:szCs w:val="20"/>
              </w:rPr>
              <w:t>GG7030</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297"/>
        </w:trPr>
        <w:tc>
          <w:tcPr>
            <w:tcW w:w="3661" w:type="dxa"/>
            <w:tcBorders>
              <w:top w:val="single" w:sz="4" w:space="0" w:color="auto"/>
              <w:bottom w:val="single" w:sz="4" w:space="0" w:color="auto"/>
              <w:right w:val="single" w:sz="4" w:space="0" w:color="auto"/>
            </w:tcBorders>
          </w:tcPr>
          <w:p w:rsidR="005D5B51" w:rsidRPr="003928DC" w:rsidRDefault="005D5B51" w:rsidP="007E3C1C">
            <w:pPr>
              <w:spacing w:after="0" w:line="240" w:lineRule="auto"/>
              <w:rPr>
                <w:rFonts w:cs="Arial"/>
                <w:sz w:val="20"/>
                <w:szCs w:val="20"/>
              </w:rPr>
            </w:pPr>
            <w:r w:rsidRPr="003928DC">
              <w:rPr>
                <w:rFonts w:cs="Arial"/>
                <w:sz w:val="20"/>
                <w:szCs w:val="20"/>
              </w:rPr>
              <w:t>Research Methods and Techniques</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rPr>
            </w:pPr>
            <w:r w:rsidRPr="003928DC">
              <w:rPr>
                <w:rFonts w:cs="Arial"/>
                <w:sz w:val="20"/>
                <w:szCs w:val="20"/>
              </w:rPr>
              <w:t>GG7050</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297"/>
        </w:trPr>
        <w:tc>
          <w:tcPr>
            <w:tcW w:w="3661" w:type="dxa"/>
            <w:tcBorders>
              <w:top w:val="single" w:sz="4" w:space="0" w:color="auto"/>
              <w:bottom w:val="single" w:sz="4" w:space="0" w:color="auto"/>
              <w:right w:val="single" w:sz="4" w:space="0" w:color="auto"/>
            </w:tcBorders>
          </w:tcPr>
          <w:p w:rsidR="005D5B51" w:rsidRPr="003928DC" w:rsidRDefault="005D5B51" w:rsidP="0082218D">
            <w:pPr>
              <w:spacing w:after="0" w:line="240" w:lineRule="auto"/>
              <w:rPr>
                <w:rFonts w:cs="Arial"/>
                <w:sz w:val="20"/>
                <w:szCs w:val="20"/>
              </w:rPr>
            </w:pPr>
            <w:r w:rsidRPr="003928DC">
              <w:rPr>
                <w:rFonts w:cs="Arial"/>
                <w:sz w:val="20"/>
                <w:szCs w:val="20"/>
              </w:rPr>
              <w:t>Environmental Law and Regulation</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Pr>
                <w:rFonts w:cs="Arial"/>
                <w:sz w:val="20"/>
                <w:szCs w:val="20"/>
              </w:rPr>
              <w:t>LL7053</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82218D">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143"/>
        </w:trPr>
        <w:tc>
          <w:tcPr>
            <w:tcW w:w="3661" w:type="dxa"/>
            <w:tcBorders>
              <w:top w:val="single" w:sz="4" w:space="0" w:color="auto"/>
              <w:bottom w:val="single" w:sz="4" w:space="0" w:color="auto"/>
              <w:right w:val="single" w:sz="4" w:space="0" w:color="auto"/>
            </w:tcBorders>
          </w:tcPr>
          <w:p w:rsidR="005D5B51" w:rsidRPr="003928DC" w:rsidRDefault="005D5B51" w:rsidP="00EC76F9">
            <w:pPr>
              <w:spacing w:after="0" w:line="240" w:lineRule="auto"/>
              <w:rPr>
                <w:rFonts w:cs="Arial"/>
                <w:sz w:val="20"/>
                <w:szCs w:val="20"/>
              </w:rPr>
            </w:pPr>
            <w:r w:rsidRPr="003928DC">
              <w:rPr>
                <w:rFonts w:cs="Arial"/>
                <w:sz w:val="20"/>
                <w:szCs w:val="20"/>
              </w:rPr>
              <w:t>MSc Research Project</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sz w:val="20"/>
                <w:szCs w:val="20"/>
              </w:rPr>
            </w:pPr>
            <w:r w:rsidRPr="003928DC">
              <w:rPr>
                <w:rFonts w:cs="Arial"/>
                <w:sz w:val="20"/>
                <w:szCs w:val="20"/>
              </w:rPr>
              <w:t>GG7900</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sz w:val="20"/>
                <w:szCs w:val="20"/>
              </w:rPr>
            </w:pPr>
            <w:r w:rsidRPr="003928DC">
              <w:rPr>
                <w:rFonts w:cs="Arial"/>
                <w:sz w:val="20"/>
                <w:szCs w:val="20"/>
              </w:rPr>
              <w:t>60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143"/>
        </w:trPr>
        <w:tc>
          <w:tcPr>
            <w:tcW w:w="3661" w:type="dxa"/>
            <w:tcBorders>
              <w:top w:val="single" w:sz="4" w:space="0" w:color="auto"/>
              <w:bottom w:val="single" w:sz="4" w:space="0" w:color="auto"/>
              <w:right w:val="single" w:sz="4" w:space="0" w:color="auto"/>
            </w:tcBorders>
            <w:shd w:val="clear" w:color="auto" w:fill="DBE5F1"/>
          </w:tcPr>
          <w:p w:rsidR="005D5B51" w:rsidRPr="003928DC" w:rsidRDefault="005D5B51" w:rsidP="00EC76F9">
            <w:pPr>
              <w:spacing w:after="0" w:line="240" w:lineRule="auto"/>
              <w:rPr>
                <w:rFonts w:cs="Arial"/>
                <w:b/>
                <w:sz w:val="20"/>
                <w:szCs w:val="20"/>
              </w:rPr>
            </w:pPr>
            <w:r w:rsidRPr="003928DC">
              <w:rPr>
                <w:rFonts w:cs="Arial"/>
                <w:b/>
                <w:sz w:val="20"/>
                <w:szCs w:val="20"/>
              </w:rPr>
              <w:t>Option modules</w:t>
            </w:r>
          </w:p>
        </w:tc>
        <w:tc>
          <w:tcPr>
            <w:tcW w:w="1863" w:type="dxa"/>
            <w:tcBorders>
              <w:top w:val="single" w:sz="4" w:space="0" w:color="auto"/>
              <w:left w:val="single" w:sz="4" w:space="0" w:color="auto"/>
              <w:bottom w:val="single" w:sz="4" w:space="0" w:color="auto"/>
              <w:right w:val="single" w:sz="4" w:space="0" w:color="auto"/>
            </w:tcBorders>
            <w:shd w:val="clear" w:color="auto" w:fill="DBE5F1"/>
          </w:tcPr>
          <w:p w:rsidR="005D5B51" w:rsidRPr="003928DC" w:rsidRDefault="005D5B51" w:rsidP="00EC76F9">
            <w:pPr>
              <w:spacing w:after="0" w:line="240" w:lineRule="auto"/>
              <w:jc w:val="center"/>
              <w:rPr>
                <w:rFonts w:cs="Arial"/>
                <w:b/>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DBE5F1"/>
          </w:tcPr>
          <w:p w:rsidR="005D5B51" w:rsidRPr="003928DC" w:rsidRDefault="005D5B51" w:rsidP="00EC76F9">
            <w:pPr>
              <w:spacing w:after="0" w:line="240" w:lineRule="auto"/>
              <w:jc w:val="center"/>
              <w:rPr>
                <w:rFonts w:cs="Arial"/>
                <w:b/>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auto" w:fill="DBE5F1"/>
          </w:tcPr>
          <w:p w:rsidR="005D5B51" w:rsidRPr="003928DC" w:rsidRDefault="005D5B51" w:rsidP="00EC76F9">
            <w:pPr>
              <w:spacing w:after="0" w:line="240" w:lineRule="auto"/>
              <w:jc w:val="center"/>
              <w:rPr>
                <w:rFonts w:cs="Arial"/>
                <w:b/>
                <w:sz w:val="20"/>
                <w:szCs w:val="20"/>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DBE5F1"/>
          </w:tcPr>
          <w:p w:rsidR="005D5B51" w:rsidRPr="003928DC" w:rsidRDefault="005D5B51" w:rsidP="000857DD">
            <w:pPr>
              <w:spacing w:after="0" w:line="240" w:lineRule="auto"/>
              <w:jc w:val="center"/>
              <w:rPr>
                <w:rFonts w:cs="Arial"/>
                <w:b/>
                <w:sz w:val="20"/>
                <w:szCs w:val="20"/>
              </w:rPr>
            </w:pPr>
          </w:p>
        </w:tc>
      </w:tr>
      <w:tr w:rsidR="005D5B51" w:rsidRPr="003928DC" w:rsidTr="005D5B51">
        <w:trPr>
          <w:trHeight w:val="440"/>
        </w:trPr>
        <w:tc>
          <w:tcPr>
            <w:tcW w:w="3661" w:type="dxa"/>
            <w:tcBorders>
              <w:top w:val="single" w:sz="4" w:space="0" w:color="auto"/>
              <w:bottom w:val="single" w:sz="4" w:space="0" w:color="auto"/>
              <w:right w:val="single" w:sz="4" w:space="0" w:color="auto"/>
            </w:tcBorders>
          </w:tcPr>
          <w:p w:rsidR="005D5B51" w:rsidRPr="003928DC" w:rsidRDefault="005D5B51" w:rsidP="007E3C1C">
            <w:pPr>
              <w:spacing w:after="0" w:line="240" w:lineRule="auto"/>
              <w:rPr>
                <w:rFonts w:cs="Arial"/>
                <w:sz w:val="20"/>
                <w:szCs w:val="20"/>
              </w:rPr>
            </w:pPr>
            <w:r w:rsidRPr="003928DC">
              <w:rPr>
                <w:rFonts w:cs="Arial"/>
                <w:sz w:val="20"/>
                <w:szCs w:val="20"/>
              </w:rPr>
              <w:t>Land and Water Resources Management</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highlight w:val="yellow"/>
              </w:rPr>
            </w:pPr>
            <w:r w:rsidRPr="003928DC">
              <w:rPr>
                <w:rFonts w:cs="Arial"/>
                <w:sz w:val="20"/>
                <w:szCs w:val="20"/>
              </w:rPr>
              <w:t>GG7010</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7E3C1C">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297"/>
        </w:trPr>
        <w:tc>
          <w:tcPr>
            <w:tcW w:w="3661" w:type="dxa"/>
            <w:tcBorders>
              <w:top w:val="single" w:sz="4" w:space="0" w:color="auto"/>
              <w:bottom w:val="nil"/>
              <w:right w:val="single" w:sz="4" w:space="0" w:color="auto"/>
            </w:tcBorders>
          </w:tcPr>
          <w:p w:rsidR="005D5B51" w:rsidRPr="003928DC" w:rsidRDefault="005D5B51" w:rsidP="00C61DF1">
            <w:pPr>
              <w:spacing w:after="0" w:line="240" w:lineRule="auto"/>
              <w:rPr>
                <w:rFonts w:cs="Arial"/>
                <w:sz w:val="20"/>
                <w:szCs w:val="20"/>
              </w:rPr>
            </w:pPr>
            <w:r w:rsidRPr="003928DC">
              <w:rPr>
                <w:rFonts w:cs="Arial"/>
                <w:sz w:val="20"/>
                <w:szCs w:val="20"/>
              </w:rPr>
              <w:t>Biodiversity and Conservation</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sidRPr="003928DC">
              <w:rPr>
                <w:rFonts w:cs="Arial"/>
                <w:sz w:val="20"/>
                <w:szCs w:val="20"/>
              </w:rPr>
              <w:t>GG7020</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153"/>
        </w:trPr>
        <w:tc>
          <w:tcPr>
            <w:tcW w:w="3661" w:type="dxa"/>
            <w:tcBorders>
              <w:top w:val="nil"/>
              <w:bottom w:val="single" w:sz="4" w:space="0" w:color="auto"/>
              <w:right w:val="single" w:sz="4" w:space="0" w:color="auto"/>
            </w:tcBorders>
          </w:tcPr>
          <w:p w:rsidR="005D5B51" w:rsidRPr="003928DC" w:rsidRDefault="005D5B51" w:rsidP="00EC76F9">
            <w:pPr>
              <w:spacing w:after="0" w:line="240" w:lineRule="auto"/>
              <w:rPr>
                <w:rFonts w:cs="Arial"/>
                <w:sz w:val="20"/>
                <w:szCs w:val="20"/>
              </w:rPr>
            </w:pPr>
            <w:r w:rsidRPr="003928DC">
              <w:rPr>
                <w:rFonts w:cs="Arial"/>
                <w:sz w:val="20"/>
                <w:szCs w:val="20"/>
              </w:rPr>
              <w:t>Evolving Cities</w:t>
            </w:r>
            <w:r w:rsidRPr="00F22959">
              <w:rPr>
                <w:rFonts w:cs="Arial"/>
                <w:sz w:val="20"/>
                <w:szCs w:val="20"/>
                <w:vertAlign w:val="superscript"/>
              </w:rPr>
              <w:t>1</w:t>
            </w:r>
          </w:p>
        </w:tc>
        <w:tc>
          <w:tcPr>
            <w:tcW w:w="1863" w:type="dxa"/>
            <w:tcBorders>
              <w:top w:val="nil"/>
              <w:left w:val="single" w:sz="4" w:space="0" w:color="auto"/>
              <w:bottom w:val="single" w:sz="4" w:space="0" w:color="auto"/>
              <w:right w:val="single" w:sz="4" w:space="0" w:color="auto"/>
            </w:tcBorders>
          </w:tcPr>
          <w:p w:rsidR="005D5B51" w:rsidRPr="003928DC" w:rsidRDefault="005D5B51" w:rsidP="00EC76F9">
            <w:pPr>
              <w:spacing w:after="0" w:line="240" w:lineRule="auto"/>
              <w:jc w:val="center"/>
              <w:rPr>
                <w:rFonts w:cs="Arial"/>
                <w:sz w:val="20"/>
                <w:szCs w:val="20"/>
              </w:rPr>
            </w:pPr>
            <w:r>
              <w:rPr>
                <w:rFonts w:cs="Arial"/>
                <w:sz w:val="20"/>
                <w:szCs w:val="20"/>
              </w:rPr>
              <w:t>SV</w:t>
            </w:r>
            <w:r w:rsidRPr="003928DC">
              <w:rPr>
                <w:rFonts w:cs="Arial"/>
                <w:sz w:val="20"/>
                <w:szCs w:val="20"/>
              </w:rPr>
              <w:t>7303</w:t>
            </w:r>
          </w:p>
        </w:tc>
        <w:tc>
          <w:tcPr>
            <w:tcW w:w="1215" w:type="dxa"/>
            <w:tcBorders>
              <w:top w:val="nil"/>
              <w:left w:val="single" w:sz="4" w:space="0" w:color="auto"/>
              <w:bottom w:val="single" w:sz="4" w:space="0" w:color="auto"/>
              <w:right w:val="single" w:sz="4" w:space="0" w:color="auto"/>
            </w:tcBorders>
          </w:tcPr>
          <w:p w:rsidR="005D5B51" w:rsidRPr="003928DC" w:rsidRDefault="005D5B51" w:rsidP="00071DAD">
            <w:pPr>
              <w:spacing w:after="0" w:line="240" w:lineRule="auto"/>
              <w:jc w:val="center"/>
              <w:rPr>
                <w:rFonts w:cs="Arial"/>
                <w:sz w:val="20"/>
                <w:szCs w:val="20"/>
              </w:rPr>
            </w:pPr>
            <w:r w:rsidRPr="003928DC">
              <w:rPr>
                <w:rFonts w:cs="Arial"/>
                <w:sz w:val="20"/>
                <w:szCs w:val="20"/>
              </w:rPr>
              <w:t>30</w:t>
            </w:r>
          </w:p>
        </w:tc>
        <w:tc>
          <w:tcPr>
            <w:tcW w:w="1127" w:type="dxa"/>
            <w:tcBorders>
              <w:top w:val="nil"/>
              <w:left w:val="single" w:sz="4" w:space="0" w:color="auto"/>
              <w:bottom w:val="single" w:sz="4" w:space="0" w:color="auto"/>
              <w:right w:val="single" w:sz="4" w:space="0" w:color="auto"/>
            </w:tcBorders>
          </w:tcPr>
          <w:p w:rsidR="005D5B51" w:rsidRPr="003928DC" w:rsidRDefault="005D5B51" w:rsidP="00071DAD">
            <w:pPr>
              <w:spacing w:after="0" w:line="240" w:lineRule="auto"/>
              <w:jc w:val="center"/>
              <w:rPr>
                <w:rFonts w:cs="Arial"/>
                <w:sz w:val="20"/>
                <w:szCs w:val="20"/>
              </w:rPr>
            </w:pPr>
            <w:r w:rsidRPr="003928DC">
              <w:rPr>
                <w:rFonts w:cs="Arial"/>
                <w:sz w:val="20"/>
                <w:szCs w:val="20"/>
              </w:rPr>
              <w:t>7</w:t>
            </w:r>
          </w:p>
        </w:tc>
        <w:tc>
          <w:tcPr>
            <w:tcW w:w="1469" w:type="dxa"/>
            <w:gridSpan w:val="2"/>
            <w:tcBorders>
              <w:top w:val="nil"/>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5D5B51" w:rsidRPr="003928DC" w:rsidTr="005D5B51">
        <w:trPr>
          <w:trHeight w:val="440"/>
        </w:trPr>
        <w:tc>
          <w:tcPr>
            <w:tcW w:w="3661" w:type="dxa"/>
            <w:tcBorders>
              <w:top w:val="single" w:sz="4" w:space="0" w:color="auto"/>
              <w:bottom w:val="single" w:sz="4" w:space="0" w:color="auto"/>
              <w:right w:val="single" w:sz="4" w:space="0" w:color="auto"/>
            </w:tcBorders>
          </w:tcPr>
          <w:p w:rsidR="005D5B51" w:rsidRPr="003928DC" w:rsidRDefault="005D5B51" w:rsidP="00C61DF1">
            <w:pPr>
              <w:spacing w:after="0" w:line="240" w:lineRule="auto"/>
              <w:rPr>
                <w:rFonts w:cs="Arial"/>
                <w:sz w:val="20"/>
                <w:szCs w:val="20"/>
              </w:rPr>
            </w:pPr>
            <w:r w:rsidRPr="003928DC">
              <w:rPr>
                <w:rFonts w:cs="Arial"/>
                <w:sz w:val="20"/>
                <w:szCs w:val="20"/>
              </w:rPr>
              <w:t>Socio-Economic Sustainability in the environmental context</w:t>
            </w:r>
            <w:r w:rsidRPr="00F22959">
              <w:rPr>
                <w:rFonts w:cs="Arial"/>
                <w:sz w:val="20"/>
                <w:szCs w:val="20"/>
                <w:vertAlign w:val="superscript"/>
              </w:rPr>
              <w:t>1</w:t>
            </w:r>
          </w:p>
        </w:tc>
        <w:tc>
          <w:tcPr>
            <w:tcW w:w="1863"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Pr>
                <w:rFonts w:cs="Arial"/>
                <w:sz w:val="20"/>
                <w:szCs w:val="20"/>
              </w:rPr>
              <w:t>SV</w:t>
            </w:r>
            <w:r w:rsidRPr="003928DC">
              <w:rPr>
                <w:rFonts w:cs="Arial"/>
                <w:sz w:val="20"/>
                <w:szCs w:val="20"/>
              </w:rPr>
              <w:t>7304</w:t>
            </w:r>
          </w:p>
        </w:tc>
        <w:tc>
          <w:tcPr>
            <w:tcW w:w="1215"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sidRPr="003928DC">
              <w:rPr>
                <w:rFonts w:cs="Arial"/>
                <w:sz w:val="20"/>
                <w:szCs w:val="20"/>
              </w:rPr>
              <w:t>30</w:t>
            </w:r>
          </w:p>
        </w:tc>
        <w:tc>
          <w:tcPr>
            <w:tcW w:w="1127" w:type="dxa"/>
            <w:tcBorders>
              <w:top w:val="single" w:sz="4" w:space="0" w:color="auto"/>
              <w:left w:val="single" w:sz="4" w:space="0" w:color="auto"/>
              <w:bottom w:val="single" w:sz="4" w:space="0" w:color="auto"/>
              <w:right w:val="single" w:sz="4" w:space="0" w:color="auto"/>
            </w:tcBorders>
          </w:tcPr>
          <w:p w:rsidR="005D5B51" w:rsidRPr="003928DC" w:rsidRDefault="005D5B51" w:rsidP="00C61DF1">
            <w:pPr>
              <w:spacing w:after="0" w:line="240" w:lineRule="auto"/>
              <w:jc w:val="center"/>
              <w:rPr>
                <w:rFonts w:cs="Arial"/>
                <w:sz w:val="20"/>
                <w:szCs w:val="20"/>
              </w:rPr>
            </w:pPr>
            <w:r w:rsidRPr="003928DC">
              <w:rPr>
                <w:rFonts w:cs="Arial"/>
                <w:sz w:val="20"/>
                <w:szCs w:val="20"/>
              </w:rPr>
              <w:t>7</w:t>
            </w:r>
          </w:p>
        </w:tc>
        <w:tc>
          <w:tcPr>
            <w:tcW w:w="1469" w:type="dxa"/>
            <w:gridSpan w:val="2"/>
            <w:tcBorders>
              <w:top w:val="single" w:sz="4" w:space="0" w:color="auto"/>
              <w:left w:val="single" w:sz="4" w:space="0" w:color="auto"/>
              <w:bottom w:val="single" w:sz="4" w:space="0" w:color="auto"/>
              <w:right w:val="single" w:sz="4" w:space="0" w:color="auto"/>
            </w:tcBorders>
          </w:tcPr>
          <w:p w:rsidR="005D5B51" w:rsidRPr="003928DC" w:rsidRDefault="005D5B51" w:rsidP="000857DD">
            <w:pPr>
              <w:spacing w:after="0" w:line="240" w:lineRule="auto"/>
              <w:jc w:val="center"/>
              <w:rPr>
                <w:rFonts w:cs="Arial"/>
                <w:sz w:val="20"/>
                <w:szCs w:val="20"/>
              </w:rPr>
            </w:pPr>
          </w:p>
        </w:tc>
      </w:tr>
      <w:tr w:rsidR="00E16AC1" w:rsidRPr="003928DC" w:rsidTr="005D5B51">
        <w:trPr>
          <w:gridAfter w:val="1"/>
          <w:wAfter w:w="13" w:type="dxa"/>
          <w:trHeight w:val="1044"/>
        </w:trPr>
        <w:tc>
          <w:tcPr>
            <w:tcW w:w="9322" w:type="dxa"/>
            <w:gridSpan w:val="5"/>
            <w:tcBorders>
              <w:top w:val="nil"/>
              <w:bottom w:val="nil"/>
            </w:tcBorders>
          </w:tcPr>
          <w:p w:rsidR="00F22959" w:rsidRDefault="00F22959" w:rsidP="00346B64">
            <w:pPr>
              <w:spacing w:after="0" w:line="240" w:lineRule="auto"/>
              <w:rPr>
                <w:rFonts w:cs="Arial"/>
                <w:sz w:val="20"/>
                <w:szCs w:val="20"/>
              </w:rPr>
            </w:pPr>
            <w:r w:rsidRPr="00F22959">
              <w:rPr>
                <w:rFonts w:cs="Arial"/>
                <w:sz w:val="20"/>
                <w:szCs w:val="20"/>
                <w:vertAlign w:val="superscript"/>
              </w:rPr>
              <w:lastRenderedPageBreak/>
              <w:t>1</w:t>
            </w:r>
            <w:r>
              <w:rPr>
                <w:rFonts w:cs="Arial"/>
                <w:sz w:val="20"/>
                <w:szCs w:val="20"/>
              </w:rPr>
              <w:t>Closure of Survey and Planning faculty precludes delivery of these modules.</w:t>
            </w:r>
          </w:p>
          <w:p w:rsidR="0017083D" w:rsidRPr="003928DC" w:rsidRDefault="0017083D" w:rsidP="00346B64">
            <w:pPr>
              <w:spacing w:after="0" w:line="240" w:lineRule="auto"/>
              <w:rPr>
                <w:rFonts w:cs="Arial"/>
                <w:sz w:val="20"/>
                <w:szCs w:val="20"/>
              </w:rPr>
            </w:pPr>
            <w:r w:rsidRPr="003928DC">
              <w:rPr>
                <w:rFonts w:cs="Arial"/>
                <w:sz w:val="20"/>
                <w:szCs w:val="20"/>
              </w:rPr>
              <w:t>Students can choose one optional module</w:t>
            </w:r>
          </w:p>
          <w:p w:rsidR="00E16AC1" w:rsidRPr="003928DC" w:rsidRDefault="00E16AC1" w:rsidP="00346B64">
            <w:pPr>
              <w:spacing w:after="0" w:line="240" w:lineRule="auto"/>
              <w:rPr>
                <w:rFonts w:cs="Arial"/>
                <w:sz w:val="20"/>
                <w:szCs w:val="20"/>
              </w:rPr>
            </w:pPr>
            <w:r w:rsidRPr="003928DC">
              <w:rPr>
                <w:rFonts w:cs="Arial"/>
                <w:sz w:val="20"/>
                <w:szCs w:val="20"/>
              </w:rPr>
              <w:t xml:space="preserve">Students exiting the programme with 60 credits are eligible for the award of </w:t>
            </w:r>
            <w:proofErr w:type="spellStart"/>
            <w:r w:rsidRPr="003928DC">
              <w:rPr>
                <w:rFonts w:cs="Arial"/>
                <w:sz w:val="20"/>
                <w:szCs w:val="20"/>
              </w:rPr>
              <w:t>PgCert</w:t>
            </w:r>
            <w:proofErr w:type="spellEnd"/>
          </w:p>
          <w:p w:rsidR="00E16AC1" w:rsidRPr="003928DC" w:rsidRDefault="00E16AC1" w:rsidP="00346B64">
            <w:pPr>
              <w:spacing w:after="0" w:line="240" w:lineRule="auto"/>
              <w:rPr>
                <w:rFonts w:cs="Arial"/>
                <w:sz w:val="20"/>
                <w:szCs w:val="20"/>
              </w:rPr>
            </w:pPr>
            <w:r w:rsidRPr="003928DC">
              <w:rPr>
                <w:rFonts w:cs="Arial"/>
                <w:sz w:val="20"/>
                <w:szCs w:val="20"/>
              </w:rPr>
              <w:t xml:space="preserve">Students exiting the programme with 120 credits are eligible for the award of </w:t>
            </w:r>
            <w:proofErr w:type="spellStart"/>
            <w:r w:rsidRPr="003928DC">
              <w:rPr>
                <w:rFonts w:cs="Arial"/>
                <w:sz w:val="20"/>
                <w:szCs w:val="20"/>
              </w:rPr>
              <w:t>PgDip</w:t>
            </w:r>
            <w:proofErr w:type="spellEnd"/>
          </w:p>
        </w:tc>
      </w:tr>
    </w:tbl>
    <w:p w:rsidR="0096116F" w:rsidRPr="003928DC" w:rsidRDefault="0096116F" w:rsidP="005B1266">
      <w:pPr>
        <w:spacing w:after="0" w:line="240" w:lineRule="auto"/>
        <w:rPr>
          <w:rFonts w:cs="Arial"/>
        </w:rPr>
      </w:pPr>
    </w:p>
    <w:p w:rsidR="005B1266" w:rsidRPr="003928DC" w:rsidRDefault="005B1266" w:rsidP="005B1266">
      <w:pPr>
        <w:numPr>
          <w:ilvl w:val="0"/>
          <w:numId w:val="1"/>
        </w:numPr>
        <w:spacing w:after="0" w:line="240" w:lineRule="auto"/>
        <w:rPr>
          <w:rFonts w:cs="Arial"/>
          <w:b/>
        </w:rPr>
      </w:pPr>
      <w:r w:rsidRPr="003928DC">
        <w:rPr>
          <w:rFonts w:cs="Arial"/>
          <w:b/>
        </w:rPr>
        <w:t xml:space="preserve">Principles of Teaching Learning and Assessment </w:t>
      </w:r>
    </w:p>
    <w:p w:rsidR="005B1266" w:rsidRPr="003928DC" w:rsidRDefault="005B1266" w:rsidP="005B1266">
      <w:pPr>
        <w:spacing w:after="0" w:line="240" w:lineRule="auto"/>
        <w:rPr>
          <w:rFonts w:cs="Arial"/>
        </w:rPr>
      </w:pPr>
    </w:p>
    <w:p w:rsidR="00F02B92" w:rsidRPr="003928DC" w:rsidRDefault="00F02B92" w:rsidP="002A0257">
      <w:pPr>
        <w:tabs>
          <w:tab w:val="left" w:pos="-1440"/>
          <w:tab w:val="left" w:pos="-720"/>
          <w:tab w:val="left" w:pos="1440"/>
          <w:tab w:val="left" w:pos="2160"/>
          <w:tab w:val="left" w:pos="3384"/>
          <w:tab w:val="right" w:leader="dot" w:pos="8685"/>
        </w:tabs>
        <w:ind w:left="709"/>
        <w:jc w:val="both"/>
        <w:rPr>
          <w:rFonts w:cs="Arial"/>
        </w:rPr>
      </w:pPr>
      <w:r w:rsidRPr="003928DC">
        <w:rPr>
          <w:rFonts w:cs="Calibri"/>
        </w:rPr>
        <w:t xml:space="preserve">This course has been designed to take account of the Kingston University Curriculum Design Principles. The course utilises a wide range of teaching and learning methods that enable students to learn actively with all elements of the course and embed the skills and knowledge within their own career aspirations.  Teaching and learning methods are specifically designed to suit the content and the learning outcomes of each module. </w:t>
      </w:r>
      <w:r w:rsidRPr="003928DC">
        <w:rPr>
          <w:rFonts w:cs="Arial"/>
        </w:rPr>
        <w:t xml:space="preserve">Typically, </w:t>
      </w:r>
      <w:r w:rsidRPr="003928DC">
        <w:rPr>
          <w:rFonts w:cs="Calibri"/>
        </w:rPr>
        <w:t xml:space="preserve">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w:t>
      </w:r>
      <w:r w:rsidRPr="003928DC">
        <w:rPr>
          <w:rFonts w:cs="Arial"/>
        </w:rPr>
        <w:t>Group work may be used to expose students to team working and working on larger projects.</w:t>
      </w:r>
    </w:p>
    <w:p w:rsidR="00316631" w:rsidRPr="003928DC" w:rsidRDefault="00316631" w:rsidP="002A0257">
      <w:pPr>
        <w:tabs>
          <w:tab w:val="left" w:pos="-1440"/>
          <w:tab w:val="left" w:pos="-720"/>
          <w:tab w:val="left" w:pos="1440"/>
          <w:tab w:val="left" w:pos="2160"/>
          <w:tab w:val="left" w:pos="3384"/>
          <w:tab w:val="right" w:leader="dot" w:pos="8685"/>
        </w:tabs>
        <w:ind w:left="709"/>
        <w:jc w:val="both"/>
        <w:rPr>
          <w:rFonts w:cs="Arial"/>
        </w:rPr>
      </w:pPr>
      <w:r w:rsidRPr="003928DC">
        <w:rPr>
          <w:rFonts w:cs="Arial"/>
        </w:rPr>
        <w:t xml:space="preserve">Emphasis is placed on participatory learning though seminars, debate, role-playing, </w:t>
      </w:r>
      <w:proofErr w:type="spellStart"/>
      <w:r w:rsidRPr="003928DC">
        <w:rPr>
          <w:rFonts w:cs="Arial"/>
        </w:rPr>
        <w:t>practicals</w:t>
      </w:r>
      <w:proofErr w:type="spellEnd"/>
      <w:r w:rsidRPr="003928DC">
        <w:rPr>
          <w:rFonts w:cs="Arial"/>
        </w:rPr>
        <w:t xml:space="preserve">, module symposia, tutorials and guided team work activities.   Key note lectures will introduce major topics which students will be expected to develop further through guided reading and independent research. Expert guest speakers and sustainability practitioners will be invited to contribute to the taught programme to ensure relevance and currency in the world of business and commerce, research and professional practice. Tutorial support will be offered through the course director and module leaders. </w:t>
      </w:r>
    </w:p>
    <w:p w:rsidR="00316631" w:rsidRPr="003928DC" w:rsidRDefault="00316631" w:rsidP="002A0257">
      <w:pPr>
        <w:numPr>
          <w:ilvl w:val="12"/>
          <w:numId w:val="0"/>
        </w:numPr>
        <w:ind w:left="709"/>
        <w:jc w:val="both"/>
        <w:rPr>
          <w:rFonts w:cs="Arial"/>
        </w:rPr>
      </w:pPr>
      <w:r w:rsidRPr="003928DC">
        <w:rPr>
          <w:rFonts w:cs="Arial"/>
        </w:rPr>
        <w:t>Appropriate use will be made of Kingston’s on-line ‘</w:t>
      </w:r>
      <w:proofErr w:type="spellStart"/>
      <w:r w:rsidRPr="003928DC">
        <w:rPr>
          <w:rFonts w:cs="Arial"/>
        </w:rPr>
        <w:t>Studyspace</w:t>
      </w:r>
      <w:proofErr w:type="spellEnd"/>
      <w:r w:rsidRPr="003928DC">
        <w:rPr>
          <w:rFonts w:cs="Arial"/>
        </w:rPr>
        <w:t>’ facility as a repository for support materials and for exchange of information and ideas between module participants.  To accommodate the differing timetable needs across the three schools contributing to the programme and at the same time</w:t>
      </w:r>
      <w:r w:rsidR="002A0257" w:rsidRPr="003928DC">
        <w:rPr>
          <w:rFonts w:cs="Arial"/>
        </w:rPr>
        <w:t xml:space="preserve">. </w:t>
      </w:r>
      <w:r w:rsidRPr="003928DC">
        <w:rPr>
          <w:rFonts w:cs="Arial"/>
        </w:rPr>
        <w:t xml:space="preserve">Video and podcasts, self-assessment quizzes and dedicated reading materials will support </w:t>
      </w:r>
      <w:r w:rsidR="002A0257" w:rsidRPr="003928DC">
        <w:rPr>
          <w:rFonts w:cs="Arial"/>
        </w:rPr>
        <w:t>the</w:t>
      </w:r>
      <w:r w:rsidRPr="003928DC">
        <w:rPr>
          <w:rFonts w:cs="Arial"/>
        </w:rPr>
        <w:t xml:space="preserve"> modules. </w:t>
      </w:r>
    </w:p>
    <w:p w:rsidR="00316631" w:rsidRPr="003928DC" w:rsidRDefault="00316631" w:rsidP="008818DF">
      <w:pPr>
        <w:pStyle w:val="BodyText3"/>
        <w:spacing w:after="0" w:line="276" w:lineRule="auto"/>
        <w:ind w:left="709"/>
        <w:rPr>
          <w:rFonts w:ascii="Calibri" w:hAnsi="Calibri" w:cs="Arial"/>
          <w:sz w:val="22"/>
          <w:szCs w:val="22"/>
        </w:rPr>
      </w:pPr>
      <w:r w:rsidRPr="003928DC">
        <w:rPr>
          <w:rFonts w:ascii="Calibri" w:hAnsi="Calibri" w:cs="Arial"/>
          <w:sz w:val="22"/>
          <w:szCs w:val="22"/>
        </w:rPr>
        <w:t>Research skills will be developed throughout the programme and explicitly in the research m</w:t>
      </w:r>
      <w:r w:rsidR="00B83C39" w:rsidRPr="003928DC">
        <w:rPr>
          <w:rFonts w:ascii="Calibri" w:hAnsi="Calibri" w:cs="Arial"/>
          <w:sz w:val="22"/>
          <w:szCs w:val="22"/>
        </w:rPr>
        <w:t>ethods module GG</w:t>
      </w:r>
      <w:r w:rsidR="002A0257" w:rsidRPr="003928DC">
        <w:rPr>
          <w:rFonts w:ascii="Calibri" w:hAnsi="Calibri" w:cs="Arial"/>
          <w:sz w:val="22"/>
          <w:szCs w:val="22"/>
        </w:rPr>
        <w:t>7050 and in GG7900</w:t>
      </w:r>
      <w:r w:rsidRPr="003928DC">
        <w:rPr>
          <w:rFonts w:ascii="Calibri" w:hAnsi="Calibri" w:cs="Arial"/>
          <w:sz w:val="22"/>
          <w:szCs w:val="22"/>
        </w:rPr>
        <w:t>, the research project.  Students are expected to scope, develop and manage their own research programmes, with appropriate supervisory support.  Research links with employer needs, Kingston University and neighbouring Local Authority projects are encouraged. The teaching team through research and consultancy activities has good local, and wider, contacts to help promote this activity.  Links with other European universities are actively under development in the context of this and related Masters programmes; it is expected that further research and exchange opportunities will emerge in these contexts. These will also importantly serve to promote international understanding of sustainability concerns and their resolution.</w:t>
      </w:r>
      <w:r w:rsidR="008818DF" w:rsidRPr="003928DC">
        <w:rPr>
          <w:rFonts w:ascii="Calibri" w:hAnsi="Calibri" w:cs="Arial"/>
          <w:sz w:val="22"/>
          <w:szCs w:val="22"/>
        </w:rPr>
        <w:t xml:space="preserve"> Module programmes will:</w:t>
      </w:r>
    </w:p>
    <w:p w:rsidR="008818DF" w:rsidRPr="003928DC" w:rsidRDefault="008818DF" w:rsidP="008818DF">
      <w:pPr>
        <w:pStyle w:val="BodyText3"/>
        <w:spacing w:after="0" w:line="276" w:lineRule="auto"/>
        <w:ind w:left="709"/>
        <w:rPr>
          <w:rFonts w:ascii="Calibri" w:hAnsi="Calibri" w:cs="Arial"/>
          <w:sz w:val="22"/>
          <w:szCs w:val="22"/>
        </w:rPr>
      </w:pPr>
    </w:p>
    <w:p w:rsidR="00316631" w:rsidRPr="003928DC" w:rsidRDefault="00316631" w:rsidP="00316631">
      <w:pPr>
        <w:numPr>
          <w:ilvl w:val="0"/>
          <w:numId w:val="38"/>
        </w:numPr>
        <w:spacing w:after="120" w:line="264" w:lineRule="auto"/>
        <w:jc w:val="both"/>
        <w:rPr>
          <w:rFonts w:cs="Arial"/>
        </w:rPr>
      </w:pPr>
      <w:r w:rsidRPr="003928DC">
        <w:rPr>
          <w:rFonts w:cs="Arial"/>
        </w:rPr>
        <w:t>Enable students to achieve the overall aims and objectives of their course</w:t>
      </w:r>
    </w:p>
    <w:p w:rsidR="00316631" w:rsidRPr="003928DC" w:rsidRDefault="00316631" w:rsidP="00316631">
      <w:pPr>
        <w:numPr>
          <w:ilvl w:val="0"/>
          <w:numId w:val="38"/>
        </w:numPr>
        <w:spacing w:after="120" w:line="264" w:lineRule="auto"/>
        <w:jc w:val="both"/>
        <w:rPr>
          <w:rFonts w:cs="Arial"/>
        </w:rPr>
      </w:pPr>
      <w:r w:rsidRPr="003928DC">
        <w:rPr>
          <w:rFonts w:cs="Arial"/>
        </w:rPr>
        <w:t>Encourage development of a strong knowledge base for subject material</w:t>
      </w:r>
    </w:p>
    <w:p w:rsidR="00316631" w:rsidRPr="003928DC" w:rsidRDefault="00316631" w:rsidP="00316631">
      <w:pPr>
        <w:numPr>
          <w:ilvl w:val="0"/>
          <w:numId w:val="38"/>
        </w:numPr>
        <w:spacing w:after="120" w:line="264" w:lineRule="auto"/>
        <w:jc w:val="both"/>
        <w:rPr>
          <w:rFonts w:cs="Arial"/>
        </w:rPr>
      </w:pPr>
      <w:r w:rsidRPr="003928DC">
        <w:rPr>
          <w:rFonts w:cs="Arial"/>
        </w:rPr>
        <w:t>Promote multidisciplinary understanding</w:t>
      </w:r>
    </w:p>
    <w:p w:rsidR="00316631" w:rsidRPr="003928DC" w:rsidRDefault="00316631" w:rsidP="00316631">
      <w:pPr>
        <w:numPr>
          <w:ilvl w:val="0"/>
          <w:numId w:val="38"/>
        </w:numPr>
        <w:spacing w:after="120" w:line="264" w:lineRule="auto"/>
        <w:jc w:val="both"/>
        <w:rPr>
          <w:rFonts w:cs="Arial"/>
        </w:rPr>
      </w:pPr>
      <w:r w:rsidRPr="003928DC">
        <w:rPr>
          <w:rFonts w:cs="Arial"/>
        </w:rPr>
        <w:lastRenderedPageBreak/>
        <w:t>Provide a stimulating and exciting educational programme</w:t>
      </w:r>
    </w:p>
    <w:p w:rsidR="00316631" w:rsidRPr="003928DC" w:rsidRDefault="00316631" w:rsidP="00316631">
      <w:pPr>
        <w:numPr>
          <w:ilvl w:val="0"/>
          <w:numId w:val="38"/>
        </w:numPr>
        <w:spacing w:after="120" w:line="264" w:lineRule="auto"/>
        <w:jc w:val="both"/>
        <w:rPr>
          <w:rFonts w:cs="Arial"/>
        </w:rPr>
      </w:pPr>
      <w:r w:rsidRPr="003928DC">
        <w:rPr>
          <w:rFonts w:cs="Arial"/>
        </w:rPr>
        <w:t>Encourage independent learning and critical reflection</w:t>
      </w:r>
    </w:p>
    <w:p w:rsidR="00316631" w:rsidRPr="003928DC" w:rsidRDefault="00316631" w:rsidP="00316631">
      <w:pPr>
        <w:numPr>
          <w:ilvl w:val="0"/>
          <w:numId w:val="38"/>
        </w:numPr>
        <w:spacing w:after="120" w:line="264" w:lineRule="auto"/>
        <w:jc w:val="both"/>
        <w:rPr>
          <w:rFonts w:cs="Arial"/>
        </w:rPr>
      </w:pPr>
      <w:r w:rsidRPr="003928DC">
        <w:rPr>
          <w:rFonts w:cs="Arial"/>
        </w:rPr>
        <w:t>Foster the development of personal, transferable, IT, and team working skills</w:t>
      </w:r>
    </w:p>
    <w:p w:rsidR="005B1266" w:rsidRPr="003928DC" w:rsidRDefault="00316631" w:rsidP="009229EB">
      <w:pPr>
        <w:numPr>
          <w:ilvl w:val="0"/>
          <w:numId w:val="38"/>
        </w:numPr>
        <w:tabs>
          <w:tab w:val="left" w:pos="720"/>
        </w:tabs>
        <w:spacing w:after="120" w:line="264" w:lineRule="auto"/>
        <w:jc w:val="both"/>
        <w:rPr>
          <w:rFonts w:cs="Arial"/>
        </w:rPr>
      </w:pPr>
      <w:r w:rsidRPr="003928DC">
        <w:rPr>
          <w:rFonts w:cs="Arial"/>
        </w:rPr>
        <w:t>Encourage an appreciation and enthusiasm for research, and especially the challenge of multidisciplinary research</w:t>
      </w:r>
    </w:p>
    <w:p w:rsidR="005B1266" w:rsidRPr="003928DC" w:rsidRDefault="005B1266" w:rsidP="005B1266">
      <w:pPr>
        <w:numPr>
          <w:ilvl w:val="0"/>
          <w:numId w:val="1"/>
        </w:numPr>
        <w:spacing w:after="0" w:line="240" w:lineRule="auto"/>
        <w:rPr>
          <w:rFonts w:cs="Arial"/>
          <w:b/>
        </w:rPr>
      </w:pPr>
      <w:r w:rsidRPr="003928DC">
        <w:rPr>
          <w:rFonts w:cs="Arial"/>
          <w:b/>
        </w:rPr>
        <w:t>Support f</w:t>
      </w:r>
      <w:r w:rsidR="00177CF1" w:rsidRPr="003928DC">
        <w:rPr>
          <w:rFonts w:cs="Arial"/>
          <w:b/>
        </w:rPr>
        <w:t xml:space="preserve">or Students and their </w:t>
      </w:r>
      <w:r w:rsidRPr="003928DC">
        <w:rPr>
          <w:rFonts w:cs="Arial"/>
          <w:b/>
        </w:rPr>
        <w:t>Learning</w:t>
      </w:r>
    </w:p>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rPr>
      </w:pPr>
      <w:r w:rsidRPr="003928DC">
        <w:rPr>
          <w:rFonts w:cs="Arial"/>
        </w:rPr>
        <w:t>Students are supported by:</w:t>
      </w:r>
    </w:p>
    <w:p w:rsidR="00F838B0" w:rsidRPr="003928DC" w:rsidRDefault="00F838B0" w:rsidP="005B1266">
      <w:pPr>
        <w:spacing w:after="0" w:line="240" w:lineRule="auto"/>
        <w:rPr>
          <w:rFonts w:cs="Arial"/>
          <w:i/>
          <w:sz w:val="18"/>
          <w:szCs w:val="18"/>
        </w:rPr>
      </w:pPr>
    </w:p>
    <w:p w:rsidR="00F02B92" w:rsidRPr="003928DC" w:rsidRDefault="003C3BAD" w:rsidP="003C3BAD">
      <w:pPr>
        <w:pStyle w:val="BodyText3"/>
        <w:spacing w:line="276" w:lineRule="auto"/>
        <w:rPr>
          <w:rFonts w:ascii="Calibri" w:hAnsi="Calibri" w:cs="Arial"/>
          <w:sz w:val="22"/>
          <w:szCs w:val="22"/>
        </w:rPr>
      </w:pPr>
      <w:r w:rsidRPr="003928DC">
        <w:rPr>
          <w:rFonts w:ascii="Calibri" w:hAnsi="Calibri" w:cs="Arial"/>
          <w:sz w:val="22"/>
          <w:szCs w:val="22"/>
        </w:rPr>
        <w:t>To assist students to achieve their learning outcomes, the Faculty of Science</w:t>
      </w:r>
      <w:r w:rsidR="00177CF1" w:rsidRPr="003928DC">
        <w:rPr>
          <w:rFonts w:ascii="Calibri" w:hAnsi="Calibri" w:cs="Arial"/>
          <w:sz w:val="22"/>
          <w:szCs w:val="22"/>
        </w:rPr>
        <w:t>, Engineering and Computing (SEC)</w:t>
      </w:r>
      <w:r w:rsidRPr="003928DC">
        <w:rPr>
          <w:rFonts w:ascii="Calibri" w:hAnsi="Calibri" w:cs="Arial"/>
          <w:sz w:val="22"/>
          <w:szCs w:val="22"/>
        </w:rPr>
        <w:t xml:space="preserve"> and the School of Geography, Geology &amp; the Environment have developed a wide range of initiatives to support postgraduates in both academic and pastoral matters.   These include skills workshops that offer English language support, academic surgeries, detailed induction and orientation programmes at the start of the academic year, and subject based conference-style and team-building events. Advice on generic learning and study skills is available through the electronic learning management system to which all students have access: this includes, for example, advice on academic writing, oral communication, and numeracy, problem solving and career management. </w:t>
      </w:r>
    </w:p>
    <w:p w:rsidR="003C3BAD" w:rsidRPr="003928DC" w:rsidRDefault="003C3BAD" w:rsidP="003C3BAD">
      <w:pPr>
        <w:pStyle w:val="BodyText3"/>
        <w:spacing w:line="276" w:lineRule="auto"/>
        <w:rPr>
          <w:rFonts w:ascii="Calibri" w:hAnsi="Calibri" w:cs="Arial"/>
          <w:sz w:val="22"/>
          <w:szCs w:val="22"/>
        </w:rPr>
      </w:pPr>
      <w:r w:rsidRPr="003928DC">
        <w:rPr>
          <w:rFonts w:ascii="Calibri" w:hAnsi="Calibri" w:cs="Arial"/>
          <w:sz w:val="22"/>
          <w:szCs w:val="22"/>
        </w:rPr>
        <w:br/>
        <w:t xml:space="preserve">Students are encouraged to discuss academic and pastoral concerns with their tutors.  All academic staff </w:t>
      </w:r>
      <w:proofErr w:type="gramStart"/>
      <w:r w:rsidRPr="003928DC">
        <w:rPr>
          <w:rFonts w:ascii="Calibri" w:hAnsi="Calibri" w:cs="Arial"/>
          <w:sz w:val="22"/>
          <w:szCs w:val="22"/>
        </w:rPr>
        <w:t>operate</w:t>
      </w:r>
      <w:proofErr w:type="gramEnd"/>
      <w:r w:rsidRPr="003928DC">
        <w:rPr>
          <w:rFonts w:ascii="Calibri" w:hAnsi="Calibri" w:cs="Arial"/>
          <w:sz w:val="22"/>
          <w:szCs w:val="22"/>
        </w:rPr>
        <w:t xml:space="preserve"> a system of ‘office hours’ when they are routinely available for drop-in consultation or students may email for specific appointments.  In addition the Faculty employs</w:t>
      </w:r>
      <w:r w:rsidRPr="003928DC">
        <w:rPr>
          <w:rFonts w:ascii="Calibri" w:hAnsi="Calibri" w:cs="Arial"/>
        </w:rPr>
        <w:t xml:space="preserve"> </w:t>
      </w:r>
      <w:r w:rsidRPr="003928DC">
        <w:rPr>
          <w:rFonts w:ascii="Calibri" w:hAnsi="Calibri" w:cs="Arial"/>
          <w:sz w:val="22"/>
          <w:szCs w:val="22"/>
        </w:rPr>
        <w:t>Student Support Officers who are available in both drop-in and appointment sessions to support students in all aspects of their education including pastoral issues.</w:t>
      </w:r>
    </w:p>
    <w:p w:rsidR="003C3BAD" w:rsidRPr="003928DC" w:rsidRDefault="003C3BAD" w:rsidP="003C3BAD">
      <w:pPr>
        <w:pStyle w:val="BodyText3"/>
        <w:spacing w:after="0" w:line="276" w:lineRule="auto"/>
        <w:rPr>
          <w:rFonts w:ascii="Calibri" w:hAnsi="Calibri" w:cs="Arial"/>
          <w:sz w:val="22"/>
          <w:szCs w:val="22"/>
        </w:rPr>
      </w:pPr>
      <w:r w:rsidRPr="003928DC">
        <w:rPr>
          <w:rFonts w:ascii="Calibri" w:hAnsi="Calibri" w:cs="Arial"/>
          <w:sz w:val="22"/>
          <w:szCs w:val="22"/>
        </w:rPr>
        <w:t>Specific teaching and learning strategies are indicated in the individual module outlines and embrace the following.</w:t>
      </w:r>
    </w:p>
    <w:p w:rsidR="00AC53AB" w:rsidRPr="003928DC" w:rsidRDefault="00AC53AB" w:rsidP="003C3BAD">
      <w:pPr>
        <w:pStyle w:val="BodyText3"/>
        <w:spacing w:after="0" w:line="276" w:lineRule="auto"/>
        <w:rPr>
          <w:rFonts w:ascii="Calibri" w:hAnsi="Calibri" w:cs="Arial"/>
          <w:sz w:val="22"/>
          <w:szCs w:val="22"/>
        </w:rPr>
      </w:pPr>
    </w:p>
    <w:p w:rsidR="00AC53AB" w:rsidRPr="003928DC" w:rsidRDefault="00AC53AB" w:rsidP="003C3BAD">
      <w:pPr>
        <w:pStyle w:val="BodyText3"/>
        <w:spacing w:after="0" w:line="276" w:lineRule="auto"/>
        <w:rPr>
          <w:rFonts w:ascii="Calibri" w:hAnsi="Calibri" w:cs="Arial"/>
          <w:sz w:val="22"/>
          <w:szCs w:val="22"/>
        </w:rPr>
      </w:pPr>
      <w:r w:rsidRPr="003928DC">
        <w:rPr>
          <w:rFonts w:ascii="Calibri" w:hAnsi="Calibri" w:cs="Arial"/>
          <w:sz w:val="22"/>
          <w:szCs w:val="22"/>
        </w:rPr>
        <w:t>Students are further supported by:</w:t>
      </w:r>
    </w:p>
    <w:p w:rsidR="00AC53AB" w:rsidRPr="003928DC" w:rsidRDefault="00AC53AB" w:rsidP="003C3BAD">
      <w:pPr>
        <w:pStyle w:val="BodyText3"/>
        <w:spacing w:after="0" w:line="276" w:lineRule="auto"/>
        <w:rPr>
          <w:rFonts w:ascii="Calibri" w:hAnsi="Calibri" w:cs="Arial"/>
          <w:sz w:val="22"/>
          <w:szCs w:val="22"/>
        </w:rPr>
      </w:pPr>
    </w:p>
    <w:p w:rsidR="00AC53AB" w:rsidRPr="003928DC" w:rsidRDefault="00AC53AB" w:rsidP="00AC53AB">
      <w:pPr>
        <w:numPr>
          <w:ilvl w:val="0"/>
          <w:numId w:val="39"/>
        </w:numPr>
        <w:spacing w:after="0" w:line="240" w:lineRule="auto"/>
        <w:rPr>
          <w:rFonts w:cs="Calibri"/>
        </w:rPr>
      </w:pPr>
      <w:r w:rsidRPr="003928DC">
        <w:rPr>
          <w:rFonts w:cs="Calibri"/>
        </w:rPr>
        <w:t>A Module Leader for each module to provide logistical and academic support</w:t>
      </w:r>
    </w:p>
    <w:p w:rsidR="00AC53AB" w:rsidRPr="003928DC" w:rsidRDefault="00AC53AB" w:rsidP="00AC53AB">
      <w:pPr>
        <w:numPr>
          <w:ilvl w:val="0"/>
          <w:numId w:val="40"/>
        </w:numPr>
        <w:spacing w:after="0" w:line="240" w:lineRule="auto"/>
        <w:rPr>
          <w:rFonts w:cs="Arial"/>
        </w:rPr>
      </w:pPr>
      <w:r w:rsidRPr="003928DC">
        <w:rPr>
          <w:rFonts w:cs="Calibri"/>
        </w:rPr>
        <w:t xml:space="preserve">A Course Director </w:t>
      </w:r>
      <w:r w:rsidRPr="003928DC">
        <w:rPr>
          <w:rFonts w:cs="Arial"/>
        </w:rPr>
        <w:t>to guide students through the programme structure and progression</w:t>
      </w:r>
    </w:p>
    <w:p w:rsidR="00AC53AB" w:rsidRPr="003928DC" w:rsidRDefault="00AC53AB" w:rsidP="00AC53AB">
      <w:pPr>
        <w:numPr>
          <w:ilvl w:val="0"/>
          <w:numId w:val="40"/>
        </w:numPr>
        <w:spacing w:after="0" w:line="240" w:lineRule="auto"/>
        <w:rPr>
          <w:rFonts w:cs="Arial"/>
        </w:rPr>
      </w:pPr>
      <w:r w:rsidRPr="003928DC">
        <w:rPr>
          <w:rFonts w:cs="Arial"/>
        </w:rPr>
        <w:t>The Course Team to provide high quality teaching and advice</w:t>
      </w:r>
    </w:p>
    <w:p w:rsidR="00AC53AB" w:rsidRPr="003928DC" w:rsidRDefault="00AC53AB" w:rsidP="00AC53AB">
      <w:pPr>
        <w:numPr>
          <w:ilvl w:val="0"/>
          <w:numId w:val="39"/>
        </w:numPr>
        <w:spacing w:after="0" w:line="240" w:lineRule="auto"/>
        <w:rPr>
          <w:rFonts w:cs="Arial"/>
        </w:rPr>
      </w:pPr>
      <w:r w:rsidRPr="003928DC">
        <w:rPr>
          <w:rFonts w:cs="Calibri"/>
        </w:rPr>
        <w:t>Personal Tutors to provide academic and personal support</w:t>
      </w:r>
    </w:p>
    <w:p w:rsidR="00AC53AB" w:rsidRPr="003928DC" w:rsidRDefault="00AC53AB" w:rsidP="00AC53AB">
      <w:pPr>
        <w:numPr>
          <w:ilvl w:val="0"/>
          <w:numId w:val="39"/>
        </w:numPr>
        <w:spacing w:after="0" w:line="240" w:lineRule="auto"/>
        <w:rPr>
          <w:rFonts w:cs="Calibri"/>
        </w:rPr>
      </w:pPr>
      <w:r w:rsidRPr="003928DC">
        <w:rPr>
          <w:rFonts w:cs="Calibri"/>
        </w:rPr>
        <w:t xml:space="preserve">Technical support to advise students on IT and the use of software </w:t>
      </w:r>
    </w:p>
    <w:p w:rsidR="00AC53AB" w:rsidRPr="003928DC" w:rsidRDefault="00AC53AB" w:rsidP="00AC53AB">
      <w:pPr>
        <w:numPr>
          <w:ilvl w:val="0"/>
          <w:numId w:val="39"/>
        </w:numPr>
        <w:spacing w:after="0" w:line="240" w:lineRule="auto"/>
        <w:rPr>
          <w:rFonts w:cs="Calibri"/>
        </w:rPr>
      </w:pPr>
      <w:r w:rsidRPr="003928DC">
        <w:rPr>
          <w:rFonts w:cs="Calibri"/>
        </w:rPr>
        <w:t>Dedicated programme administration office for all non-academic queries</w:t>
      </w:r>
    </w:p>
    <w:p w:rsidR="00AC53AB" w:rsidRPr="003928DC" w:rsidRDefault="00AC53AB" w:rsidP="00AC53AB">
      <w:pPr>
        <w:numPr>
          <w:ilvl w:val="0"/>
          <w:numId w:val="39"/>
        </w:numPr>
        <w:spacing w:after="0" w:line="240" w:lineRule="auto"/>
        <w:rPr>
          <w:rFonts w:cs="Calibri"/>
        </w:rPr>
      </w:pPr>
      <w:r w:rsidRPr="003928DC">
        <w:rPr>
          <w:rFonts w:cs="Calibri"/>
        </w:rPr>
        <w:t>An induction week at the beginning of the programme</w:t>
      </w:r>
    </w:p>
    <w:p w:rsidR="00AC53AB" w:rsidRPr="003928DC" w:rsidRDefault="00AC53AB" w:rsidP="00AC53AB">
      <w:pPr>
        <w:numPr>
          <w:ilvl w:val="0"/>
          <w:numId w:val="39"/>
        </w:numPr>
        <w:spacing w:after="0" w:line="240" w:lineRule="auto"/>
        <w:rPr>
          <w:rFonts w:cs="Calibri"/>
        </w:rPr>
      </w:pPr>
      <w:r w:rsidRPr="003928DC">
        <w:rPr>
          <w:rFonts w:cs="Calibri"/>
        </w:rPr>
        <w:t>Staff Student Consultative Committee</w:t>
      </w:r>
    </w:p>
    <w:p w:rsidR="00AC53AB" w:rsidRPr="003928DC" w:rsidRDefault="00AC53AB" w:rsidP="00AC53AB">
      <w:pPr>
        <w:numPr>
          <w:ilvl w:val="0"/>
          <w:numId w:val="39"/>
        </w:numPr>
        <w:spacing w:after="0" w:line="240" w:lineRule="auto"/>
        <w:rPr>
          <w:rFonts w:cs="Calibri"/>
        </w:rPr>
      </w:pPr>
      <w:proofErr w:type="spellStart"/>
      <w:r w:rsidRPr="003928DC">
        <w:rPr>
          <w:rFonts w:cs="Calibri"/>
        </w:rPr>
        <w:t>StudySpace</w:t>
      </w:r>
      <w:proofErr w:type="spellEnd"/>
      <w:r w:rsidRPr="003928DC">
        <w:rPr>
          <w:rFonts w:cs="Calibri"/>
        </w:rPr>
        <w:t xml:space="preserve"> – an on-line learning environment for </w:t>
      </w:r>
      <w:r w:rsidRPr="003928DC">
        <w:rPr>
          <w:rFonts w:cs="Calibri"/>
          <w:i/>
        </w:rPr>
        <w:t>every</w:t>
      </w:r>
      <w:r w:rsidRPr="003928DC">
        <w:rPr>
          <w:rFonts w:cs="Calibri"/>
        </w:rPr>
        <w:t xml:space="preserve"> module</w:t>
      </w:r>
    </w:p>
    <w:p w:rsidR="00AC53AB" w:rsidRPr="003928DC" w:rsidRDefault="00AC53AB" w:rsidP="00AC53AB">
      <w:pPr>
        <w:numPr>
          <w:ilvl w:val="0"/>
          <w:numId w:val="39"/>
        </w:numPr>
        <w:spacing w:after="0" w:line="240" w:lineRule="auto"/>
        <w:rPr>
          <w:rFonts w:cs="Calibri"/>
        </w:rPr>
      </w:pPr>
      <w:r w:rsidRPr="003928DC">
        <w:rPr>
          <w:rFonts w:cs="Arial"/>
        </w:rPr>
        <w:t>A Learning Resource Centre and designated staff</w:t>
      </w:r>
    </w:p>
    <w:p w:rsidR="00AC53AB" w:rsidRPr="003928DC" w:rsidRDefault="00AC53AB" w:rsidP="00AC53AB">
      <w:pPr>
        <w:numPr>
          <w:ilvl w:val="0"/>
          <w:numId w:val="39"/>
        </w:numPr>
        <w:spacing w:after="0" w:line="240" w:lineRule="auto"/>
        <w:rPr>
          <w:rFonts w:cs="Calibri"/>
        </w:rPr>
      </w:pPr>
      <w:r w:rsidRPr="003928DC">
        <w:rPr>
          <w:rFonts w:cs="Calibri"/>
        </w:rPr>
        <w:t>Study Skills Centre that provides academic skills support</w:t>
      </w:r>
    </w:p>
    <w:p w:rsidR="00AC53AB" w:rsidRPr="003928DC" w:rsidRDefault="00AC53AB" w:rsidP="00AC53AB">
      <w:pPr>
        <w:numPr>
          <w:ilvl w:val="0"/>
          <w:numId w:val="39"/>
        </w:numPr>
        <w:spacing w:after="0" w:line="240" w:lineRule="auto"/>
        <w:rPr>
          <w:rFonts w:cs="Arial"/>
        </w:rPr>
      </w:pPr>
      <w:r w:rsidRPr="003928DC">
        <w:rPr>
          <w:rFonts w:cs="Arial"/>
        </w:rPr>
        <w:t>KU Student Support facilities that provide advice on financial, regulatory, legal, international student and accommodation issues;</w:t>
      </w:r>
    </w:p>
    <w:p w:rsidR="00AC53AB" w:rsidRPr="003928DC" w:rsidRDefault="00AC53AB" w:rsidP="00AC53AB">
      <w:pPr>
        <w:numPr>
          <w:ilvl w:val="0"/>
          <w:numId w:val="39"/>
        </w:numPr>
        <w:spacing w:after="0" w:line="240" w:lineRule="auto"/>
        <w:rPr>
          <w:rFonts w:cs="Arial"/>
        </w:rPr>
      </w:pPr>
      <w:r w:rsidRPr="003928DC">
        <w:rPr>
          <w:rFonts w:cs="Arial"/>
        </w:rPr>
        <w:t>A Faculty-based Student Support team that provides advice and guidance on disability issues, student complaints and mitigating circumstances;</w:t>
      </w:r>
    </w:p>
    <w:p w:rsidR="00AC53AB" w:rsidRPr="003928DC" w:rsidRDefault="00AC53AB" w:rsidP="00AC53AB">
      <w:pPr>
        <w:numPr>
          <w:ilvl w:val="0"/>
          <w:numId w:val="39"/>
        </w:numPr>
        <w:spacing w:after="0" w:line="240" w:lineRule="auto"/>
        <w:rPr>
          <w:rFonts w:cs="Calibri"/>
        </w:rPr>
      </w:pPr>
      <w:r w:rsidRPr="003928DC">
        <w:rPr>
          <w:rFonts w:cs="Calibri"/>
        </w:rPr>
        <w:t>International Office that provides support for those with English as a Second Language</w:t>
      </w:r>
    </w:p>
    <w:p w:rsidR="00AC53AB" w:rsidRPr="003928DC" w:rsidRDefault="00AC53AB" w:rsidP="00AC53AB">
      <w:pPr>
        <w:numPr>
          <w:ilvl w:val="0"/>
          <w:numId w:val="39"/>
        </w:numPr>
        <w:spacing w:after="0" w:line="240" w:lineRule="auto"/>
        <w:rPr>
          <w:rFonts w:cs="Calibri"/>
        </w:rPr>
      </w:pPr>
      <w:r w:rsidRPr="003928DC">
        <w:rPr>
          <w:rFonts w:cs="Calibri"/>
        </w:rPr>
        <w:t xml:space="preserve">The Students’ Union </w:t>
      </w:r>
    </w:p>
    <w:p w:rsidR="003C3BAD" w:rsidRPr="003928DC" w:rsidRDefault="00AC53AB" w:rsidP="00E555E9">
      <w:pPr>
        <w:numPr>
          <w:ilvl w:val="0"/>
          <w:numId w:val="39"/>
        </w:numPr>
        <w:spacing w:after="0" w:line="240" w:lineRule="auto"/>
        <w:rPr>
          <w:rFonts w:cs="Calibri"/>
        </w:rPr>
      </w:pPr>
      <w:r w:rsidRPr="003928DC">
        <w:rPr>
          <w:rFonts w:cs="Calibri"/>
        </w:rPr>
        <w:lastRenderedPageBreak/>
        <w:t>Careers and Employability Service</w:t>
      </w:r>
    </w:p>
    <w:p w:rsidR="003C3BAD" w:rsidRPr="003928DC" w:rsidRDefault="003C3BAD" w:rsidP="003C3BAD">
      <w:pPr>
        <w:spacing w:after="0" w:line="240" w:lineRule="auto"/>
        <w:rPr>
          <w:rFonts w:cs="Arial"/>
        </w:rPr>
      </w:pPr>
    </w:p>
    <w:p w:rsidR="005B1266" w:rsidRPr="003928DC" w:rsidRDefault="005B1266" w:rsidP="005B1266">
      <w:pPr>
        <w:numPr>
          <w:ilvl w:val="0"/>
          <w:numId w:val="1"/>
        </w:numPr>
        <w:spacing w:after="0" w:line="240" w:lineRule="auto"/>
        <w:rPr>
          <w:rFonts w:cs="Arial"/>
          <w:b/>
        </w:rPr>
      </w:pPr>
      <w:r w:rsidRPr="003928DC">
        <w:rPr>
          <w:rFonts w:cs="Arial"/>
          <w:b/>
        </w:rPr>
        <w:t>Ensuring and Enhancing the Quality of the Course</w:t>
      </w:r>
    </w:p>
    <w:p w:rsidR="005B1266" w:rsidRPr="003928DC" w:rsidRDefault="005B1266" w:rsidP="005B1266">
      <w:pPr>
        <w:spacing w:after="0" w:line="240" w:lineRule="auto"/>
        <w:rPr>
          <w:rFonts w:cs="Arial"/>
        </w:rPr>
      </w:pPr>
    </w:p>
    <w:p w:rsidR="005B1266" w:rsidRPr="003928DC" w:rsidRDefault="005B1266" w:rsidP="005B1266">
      <w:pPr>
        <w:spacing w:after="0" w:line="240" w:lineRule="auto"/>
        <w:rPr>
          <w:rFonts w:cs="Arial"/>
        </w:rPr>
      </w:pPr>
      <w:r w:rsidRPr="003928DC">
        <w:rPr>
          <w:rFonts w:cs="Arial"/>
        </w:rPr>
        <w:t xml:space="preserve">The University </w:t>
      </w:r>
      <w:r w:rsidR="00BB23D0" w:rsidRPr="003928DC">
        <w:rPr>
          <w:rFonts w:cs="Arial"/>
        </w:rPr>
        <w:t>h</w:t>
      </w:r>
      <w:r w:rsidRPr="003928DC">
        <w:rPr>
          <w:rFonts w:cs="Arial"/>
        </w:rPr>
        <w:t>as several methods for evaluating and improving the quality and standards of its provision.  These include:</w:t>
      </w:r>
    </w:p>
    <w:p w:rsidR="005B1266" w:rsidRPr="003928DC" w:rsidRDefault="005B1266" w:rsidP="005B1266">
      <w:pPr>
        <w:spacing w:after="0" w:line="240" w:lineRule="auto"/>
        <w:ind w:left="360"/>
        <w:rPr>
          <w:rFonts w:cs="Arial"/>
        </w:rPr>
      </w:pPr>
    </w:p>
    <w:p w:rsidR="005B1266" w:rsidRPr="003928DC" w:rsidRDefault="005B1266" w:rsidP="005B1266">
      <w:pPr>
        <w:numPr>
          <w:ilvl w:val="0"/>
          <w:numId w:val="9"/>
        </w:numPr>
        <w:spacing w:after="0" w:line="240" w:lineRule="auto"/>
        <w:rPr>
          <w:rFonts w:cs="Arial"/>
        </w:rPr>
      </w:pPr>
      <w:r w:rsidRPr="003928DC">
        <w:rPr>
          <w:rFonts w:cs="Arial"/>
        </w:rPr>
        <w:t>External examiners</w:t>
      </w:r>
    </w:p>
    <w:p w:rsidR="005B1266" w:rsidRPr="003928DC" w:rsidRDefault="005B1266" w:rsidP="005B1266">
      <w:pPr>
        <w:numPr>
          <w:ilvl w:val="0"/>
          <w:numId w:val="9"/>
        </w:numPr>
        <w:spacing w:after="0" w:line="240" w:lineRule="auto"/>
        <w:rPr>
          <w:rFonts w:cs="Arial"/>
        </w:rPr>
      </w:pPr>
      <w:r w:rsidRPr="003928DC">
        <w:rPr>
          <w:rFonts w:cs="Arial"/>
        </w:rPr>
        <w:t>Boards of study with student representation</w:t>
      </w:r>
    </w:p>
    <w:p w:rsidR="005B1266" w:rsidRPr="003928DC" w:rsidRDefault="005B1266" w:rsidP="005B1266">
      <w:pPr>
        <w:numPr>
          <w:ilvl w:val="0"/>
          <w:numId w:val="9"/>
        </w:numPr>
        <w:spacing w:after="0" w:line="240" w:lineRule="auto"/>
        <w:rPr>
          <w:rFonts w:cs="Arial"/>
        </w:rPr>
      </w:pPr>
      <w:r w:rsidRPr="003928DC">
        <w:rPr>
          <w:rFonts w:cs="Arial"/>
        </w:rPr>
        <w:t>Annual review and development</w:t>
      </w:r>
    </w:p>
    <w:p w:rsidR="005B1266" w:rsidRPr="003928DC" w:rsidRDefault="005B1266" w:rsidP="005B1266">
      <w:pPr>
        <w:numPr>
          <w:ilvl w:val="0"/>
          <w:numId w:val="9"/>
        </w:numPr>
        <w:spacing w:after="0" w:line="240" w:lineRule="auto"/>
        <w:rPr>
          <w:rFonts w:cs="Arial"/>
        </w:rPr>
      </w:pPr>
      <w:r w:rsidRPr="003928DC">
        <w:rPr>
          <w:rFonts w:cs="Arial"/>
        </w:rPr>
        <w:t>Periodic review undertaken at the subject level</w:t>
      </w:r>
    </w:p>
    <w:p w:rsidR="005B1266" w:rsidRPr="003928DC" w:rsidRDefault="005B1266" w:rsidP="005B1266">
      <w:pPr>
        <w:numPr>
          <w:ilvl w:val="0"/>
          <w:numId w:val="9"/>
        </w:numPr>
        <w:spacing w:after="0" w:line="240" w:lineRule="auto"/>
        <w:rPr>
          <w:rFonts w:cs="Arial"/>
        </w:rPr>
      </w:pPr>
      <w:r w:rsidRPr="003928DC">
        <w:rPr>
          <w:rFonts w:cs="Arial"/>
        </w:rPr>
        <w:t>Student evaluation</w:t>
      </w:r>
    </w:p>
    <w:p w:rsidR="005B1266" w:rsidRPr="003928DC" w:rsidRDefault="005B1266" w:rsidP="005B1266">
      <w:pPr>
        <w:numPr>
          <w:ilvl w:val="0"/>
          <w:numId w:val="9"/>
        </w:numPr>
        <w:spacing w:after="0" w:line="240" w:lineRule="auto"/>
        <w:rPr>
          <w:rFonts w:cs="Arial"/>
        </w:rPr>
      </w:pPr>
      <w:r w:rsidRPr="003928DC">
        <w:rPr>
          <w:rFonts w:cs="Arial"/>
        </w:rPr>
        <w:t>Moderation policies</w:t>
      </w:r>
    </w:p>
    <w:p w:rsidR="005B1266" w:rsidRPr="003928DC" w:rsidRDefault="005B1266" w:rsidP="005B1266">
      <w:pPr>
        <w:spacing w:after="0" w:line="240" w:lineRule="auto"/>
        <w:rPr>
          <w:rFonts w:cs="Arial"/>
        </w:rPr>
      </w:pPr>
    </w:p>
    <w:p w:rsidR="005B1266" w:rsidRPr="003928DC" w:rsidRDefault="005B1266" w:rsidP="005B1266">
      <w:pPr>
        <w:numPr>
          <w:ilvl w:val="0"/>
          <w:numId w:val="1"/>
        </w:numPr>
        <w:spacing w:after="0" w:line="240" w:lineRule="auto"/>
        <w:rPr>
          <w:rFonts w:cs="Arial"/>
          <w:b/>
        </w:rPr>
      </w:pPr>
      <w:r w:rsidRPr="003928DC">
        <w:rPr>
          <w:rFonts w:cs="Arial"/>
          <w:b/>
        </w:rPr>
        <w:t xml:space="preserve">Employability Statement </w:t>
      </w:r>
    </w:p>
    <w:p w:rsidR="00F31123" w:rsidRPr="003928DC" w:rsidRDefault="00F31123" w:rsidP="00F31123">
      <w:pPr>
        <w:spacing w:after="0" w:line="240" w:lineRule="auto"/>
        <w:ind w:left="360"/>
        <w:rPr>
          <w:rFonts w:cs="Arial"/>
          <w:b/>
        </w:rPr>
      </w:pPr>
    </w:p>
    <w:p w:rsidR="00F31123" w:rsidRPr="003928DC" w:rsidRDefault="00F31123" w:rsidP="00F31123">
      <w:pPr>
        <w:ind w:left="360"/>
        <w:jc w:val="both"/>
        <w:rPr>
          <w:rFonts w:cs="Arial"/>
        </w:rPr>
      </w:pPr>
      <w:r w:rsidRPr="003928DC">
        <w:rPr>
          <w:rFonts w:cs="Arial"/>
        </w:rPr>
        <w:t xml:space="preserve">The UK government, and the international community, has identified a priority need for graduates with advanced understanding of sustainability, sustainable development, climate change, environmental change phenomena and their management and monitoring, and appropriate policy and practical responses.  The present programme addresses this need and distinctively integrates legal and economic drivers and understanding of social context with analysis of climate change, and broader topics in environmental management.  Teaching strategy by facilitating exchange between students from this programme and related programmes in </w:t>
      </w:r>
      <w:r w:rsidRPr="003928DC">
        <w:rPr>
          <w:rFonts w:cs="Arial"/>
          <w:i/>
        </w:rPr>
        <w:t>Sustainability for Built Environment Practice</w:t>
      </w:r>
      <w:r w:rsidRPr="003928DC">
        <w:rPr>
          <w:rFonts w:cs="Arial"/>
        </w:rPr>
        <w:t xml:space="preserve"> and </w:t>
      </w:r>
      <w:r w:rsidRPr="003928DC">
        <w:rPr>
          <w:rFonts w:cs="Arial"/>
          <w:i/>
        </w:rPr>
        <w:t>Sustainability, Law and Practice,</w:t>
      </w:r>
      <w:r w:rsidRPr="003928DC">
        <w:rPr>
          <w:rFonts w:cs="Arial"/>
        </w:rPr>
        <w:t xml:space="preserve"> will widen and deepen understanding of related pertinent professional fields.  As such graduates should find extensive career opportunities with NGOs, governmental organisations, businesses, industry and education or as independent consultants and advisers.  They should be equipped for leadership roles.</w:t>
      </w:r>
    </w:p>
    <w:p w:rsidR="00F31123" w:rsidRPr="003928DC" w:rsidRDefault="00F31123" w:rsidP="00F31123">
      <w:pPr>
        <w:ind w:left="360"/>
        <w:jc w:val="both"/>
        <w:rPr>
          <w:rFonts w:cs="Arial"/>
        </w:rPr>
      </w:pPr>
      <w:r w:rsidRPr="003928DC">
        <w:rPr>
          <w:rFonts w:cs="Arial"/>
        </w:rPr>
        <w:t xml:space="preserve">As well as enhancing employability of entrants moving directly from first degree programmes, it is anticipated that the </w:t>
      </w:r>
      <w:r w:rsidRPr="003928DC">
        <w:rPr>
          <w:rFonts w:cs="Arial"/>
          <w:i/>
        </w:rPr>
        <w:t>Sustainabi</w:t>
      </w:r>
      <w:r w:rsidR="003C6D13" w:rsidRPr="003928DC">
        <w:rPr>
          <w:rFonts w:cs="Arial"/>
          <w:i/>
        </w:rPr>
        <w:t>lity and</w:t>
      </w:r>
      <w:r w:rsidRPr="003928DC">
        <w:rPr>
          <w:rFonts w:cs="Arial"/>
          <w:i/>
        </w:rPr>
        <w:t xml:space="preserve"> Environment</w:t>
      </w:r>
      <w:r w:rsidR="003C6D13" w:rsidRPr="003928DC">
        <w:rPr>
          <w:rFonts w:cs="Arial"/>
          <w:i/>
        </w:rPr>
        <w:t xml:space="preserve">al </w:t>
      </w:r>
      <w:r w:rsidRPr="003928DC">
        <w:rPr>
          <w:rFonts w:cs="Arial"/>
          <w:i/>
        </w:rPr>
        <w:t>Change</w:t>
      </w:r>
      <w:r w:rsidRPr="003928DC">
        <w:rPr>
          <w:rFonts w:cs="Arial"/>
        </w:rPr>
        <w:t xml:space="preserve"> programme will, in particular, prove attractive to mid-career professionals seeking to upgrade their skills in this increasingly important area. It is anticipated that links with European Universities</w:t>
      </w:r>
      <w:r w:rsidR="003C6D13" w:rsidRPr="003928DC">
        <w:rPr>
          <w:rFonts w:cs="Arial"/>
        </w:rPr>
        <w:t xml:space="preserve"> </w:t>
      </w:r>
      <w:r w:rsidRPr="003928DC">
        <w:rPr>
          <w:rFonts w:cs="Arial"/>
        </w:rPr>
        <w:t>will further enhance career skills and opportunities.</w:t>
      </w:r>
    </w:p>
    <w:p w:rsidR="005B1266" w:rsidRPr="003928DC" w:rsidRDefault="00F31123" w:rsidP="00F31123">
      <w:pPr>
        <w:spacing w:after="0" w:line="240" w:lineRule="auto"/>
        <w:ind w:left="360"/>
        <w:rPr>
          <w:rFonts w:cs="Arial"/>
          <w:i/>
          <w:sz w:val="18"/>
          <w:szCs w:val="18"/>
        </w:rPr>
      </w:pPr>
      <w:r w:rsidRPr="003928DC">
        <w:rPr>
          <w:rFonts w:cs="Arial"/>
        </w:rPr>
        <w:t>It is anticipated that most graduates from the programme will seek relevant professional employment but the course aims to equip graduates with the skill base to pursue higher qualifications or enter a research environment should they so desire.</w:t>
      </w:r>
    </w:p>
    <w:p w:rsidR="005B1266" w:rsidRPr="003928DC" w:rsidRDefault="005B1266" w:rsidP="005B1266">
      <w:pPr>
        <w:spacing w:after="0" w:line="240" w:lineRule="auto"/>
        <w:rPr>
          <w:rFonts w:cs="Arial"/>
        </w:rPr>
      </w:pPr>
    </w:p>
    <w:p w:rsidR="005B1266" w:rsidRPr="003928DC" w:rsidRDefault="005B1266" w:rsidP="005B1266">
      <w:pPr>
        <w:numPr>
          <w:ilvl w:val="0"/>
          <w:numId w:val="1"/>
        </w:numPr>
        <w:spacing w:after="0" w:line="240" w:lineRule="auto"/>
        <w:rPr>
          <w:rFonts w:cs="Arial"/>
          <w:b/>
        </w:rPr>
      </w:pPr>
      <w:r w:rsidRPr="003928DC">
        <w:rPr>
          <w:rFonts w:cs="Arial"/>
          <w:b/>
        </w:rPr>
        <w:t>Approved Variants from the UMS/PCF</w:t>
      </w:r>
      <w:r w:rsidR="00E512FC" w:rsidRPr="003928DC">
        <w:rPr>
          <w:rFonts w:cs="Arial"/>
          <w:b/>
        </w:rPr>
        <w:t xml:space="preserve"> – </w:t>
      </w:r>
    </w:p>
    <w:p w:rsidR="005B1266" w:rsidRPr="003928DC" w:rsidRDefault="005B1266" w:rsidP="005B1266">
      <w:pPr>
        <w:spacing w:after="0" w:line="240" w:lineRule="auto"/>
        <w:rPr>
          <w:rFonts w:cs="Arial"/>
          <w:b/>
        </w:rPr>
      </w:pPr>
    </w:p>
    <w:p w:rsidR="005B1266" w:rsidRPr="003928DC" w:rsidRDefault="005B1266" w:rsidP="005B1266">
      <w:pPr>
        <w:numPr>
          <w:ilvl w:val="0"/>
          <w:numId w:val="1"/>
        </w:numPr>
        <w:spacing w:after="0" w:line="240" w:lineRule="auto"/>
        <w:rPr>
          <w:rFonts w:cs="Arial"/>
          <w:b/>
        </w:rPr>
      </w:pPr>
      <w:r w:rsidRPr="003928DC">
        <w:rPr>
          <w:rFonts w:cs="Arial"/>
          <w:b/>
        </w:rPr>
        <w:t>Other sources of information that you may wish to consult</w:t>
      </w:r>
    </w:p>
    <w:p w:rsidR="005B1266" w:rsidRPr="003928DC" w:rsidRDefault="00F838B0" w:rsidP="00316D9A">
      <w:pPr>
        <w:spacing w:after="0" w:line="240" w:lineRule="auto"/>
        <w:ind w:left="360"/>
        <w:rPr>
          <w:rFonts w:cs="Arial"/>
          <w:b/>
        </w:rPr>
        <w:sectPr w:rsidR="005B1266" w:rsidRPr="003928DC" w:rsidSect="00612718">
          <w:pgSz w:w="11906" w:h="16838"/>
          <w:pgMar w:top="1440" w:right="1440" w:bottom="1440" w:left="1440" w:header="708" w:footer="708" w:gutter="0"/>
          <w:cols w:space="708"/>
          <w:docGrid w:linePitch="360"/>
        </w:sectPr>
      </w:pPr>
      <w:r w:rsidRPr="003928DC">
        <w:rPr>
          <w:rFonts w:cs="Arial"/>
          <w:b/>
        </w:rPr>
        <w:tab/>
      </w:r>
    </w:p>
    <w:p w:rsidR="005B1266" w:rsidRPr="003928DC" w:rsidRDefault="005B1266" w:rsidP="005B1266">
      <w:pPr>
        <w:spacing w:after="0" w:line="240" w:lineRule="auto"/>
        <w:rPr>
          <w:rFonts w:cs="Arial"/>
          <w:b/>
        </w:rPr>
      </w:pPr>
      <w:r w:rsidRPr="003928DC">
        <w:rPr>
          <w:rFonts w:cs="Arial"/>
          <w:b/>
        </w:rPr>
        <w:lastRenderedPageBreak/>
        <w:t>Development of Programme Learning Outcomes in Modules</w:t>
      </w:r>
    </w:p>
    <w:p w:rsidR="008C3ABD" w:rsidRPr="003928DC" w:rsidRDefault="008C3ABD" w:rsidP="005B1266">
      <w:pPr>
        <w:spacing w:after="0" w:line="240" w:lineRule="auto"/>
        <w:rPr>
          <w:rFonts w:cs="Arial"/>
          <w:b/>
        </w:rPr>
      </w:pPr>
    </w:p>
    <w:p w:rsidR="005B1266" w:rsidRPr="003928DC" w:rsidRDefault="005B1266" w:rsidP="005B1266">
      <w:pPr>
        <w:spacing w:after="0" w:line="240" w:lineRule="auto"/>
        <w:rPr>
          <w:rFonts w:cs="Arial"/>
        </w:rPr>
      </w:pPr>
      <w:r w:rsidRPr="003928D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928DC">
        <w:rPr>
          <w:rFonts w:cs="Arial"/>
        </w:rPr>
        <w:t xml:space="preserve">  </w:t>
      </w:r>
      <w:r w:rsidR="00F43FE8" w:rsidRPr="003928DC">
        <w:rPr>
          <w:rFonts w:cs="Arial"/>
        </w:rPr>
        <w:t xml:space="preserve">  Include both core and option modules.</w:t>
      </w:r>
    </w:p>
    <w:p w:rsidR="008C3ABD" w:rsidRPr="003928DC" w:rsidRDefault="008C3ABD" w:rsidP="005B1266">
      <w:pPr>
        <w:spacing w:after="0" w:line="240" w:lineRule="auto"/>
        <w:rPr>
          <w:rFonts w:cs="Arial"/>
        </w:rPr>
      </w:pPr>
    </w:p>
    <w:p w:rsidR="004A34CB" w:rsidRPr="003928DC" w:rsidRDefault="004A34CB"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tblGrid>
      <w:tr w:rsidR="00356EEA" w:rsidRPr="003928DC" w:rsidTr="007E3C1C">
        <w:trPr>
          <w:cantSplit/>
          <w:trHeight w:val="352"/>
        </w:trPr>
        <w:tc>
          <w:tcPr>
            <w:tcW w:w="534" w:type="dxa"/>
          </w:tcPr>
          <w:p w:rsidR="00356EEA" w:rsidRPr="003928DC" w:rsidRDefault="00356EEA" w:rsidP="007E3C1C">
            <w:pPr>
              <w:spacing w:after="0" w:line="240" w:lineRule="auto"/>
              <w:rPr>
                <w:rFonts w:cs="Arial"/>
                <w:b/>
                <w:sz w:val="20"/>
                <w:szCs w:val="20"/>
              </w:rPr>
            </w:pPr>
          </w:p>
        </w:tc>
        <w:tc>
          <w:tcPr>
            <w:tcW w:w="2976" w:type="dxa"/>
            <w:tcBorders>
              <w:bottom w:val="single" w:sz="4" w:space="0" w:color="auto"/>
            </w:tcBorders>
          </w:tcPr>
          <w:p w:rsidR="00356EEA" w:rsidRPr="003928DC" w:rsidRDefault="00356EEA" w:rsidP="007E3C1C">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356EEA" w:rsidRPr="003928DC" w:rsidRDefault="00356EEA" w:rsidP="007E3C1C">
            <w:pPr>
              <w:spacing w:after="0" w:line="240" w:lineRule="auto"/>
              <w:rPr>
                <w:rFonts w:cs="Arial"/>
                <w:b/>
                <w:sz w:val="20"/>
                <w:szCs w:val="20"/>
              </w:rPr>
            </w:pPr>
          </w:p>
        </w:tc>
        <w:tc>
          <w:tcPr>
            <w:tcW w:w="9045" w:type="dxa"/>
            <w:gridSpan w:val="16"/>
            <w:tcBorders>
              <w:top w:val="single" w:sz="4" w:space="0" w:color="auto"/>
              <w:left w:val="single" w:sz="4" w:space="0" w:color="auto"/>
              <w:bottom w:val="single" w:sz="4" w:space="0" w:color="auto"/>
              <w:right w:val="single" w:sz="4" w:space="0" w:color="auto"/>
            </w:tcBorders>
            <w:shd w:val="clear" w:color="auto" w:fill="DBE5F1"/>
          </w:tcPr>
          <w:p w:rsidR="00356EEA" w:rsidRPr="003928DC" w:rsidRDefault="00356EEA" w:rsidP="007E3C1C">
            <w:pPr>
              <w:spacing w:after="0" w:line="240" w:lineRule="auto"/>
              <w:jc w:val="center"/>
              <w:rPr>
                <w:rFonts w:cs="Arial"/>
                <w:b/>
                <w:sz w:val="20"/>
                <w:szCs w:val="20"/>
              </w:rPr>
            </w:pPr>
            <w:r w:rsidRPr="003928DC">
              <w:rPr>
                <w:rFonts w:cs="Arial"/>
                <w:b/>
                <w:sz w:val="20"/>
                <w:szCs w:val="20"/>
              </w:rPr>
              <w:t>Level 7</w:t>
            </w:r>
          </w:p>
        </w:tc>
      </w:tr>
      <w:tr w:rsidR="00664334" w:rsidRPr="003928DC" w:rsidTr="007E3C1C">
        <w:trPr>
          <w:gridAfter w:val="1"/>
          <w:wAfter w:w="566" w:type="dxa"/>
          <w:cantSplit/>
          <w:trHeight w:val="1278"/>
        </w:trPr>
        <w:tc>
          <w:tcPr>
            <w:tcW w:w="534" w:type="dxa"/>
            <w:tcBorders>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664334" w:rsidRPr="003928DC" w:rsidRDefault="00664334" w:rsidP="007E3C1C">
            <w:pPr>
              <w:spacing w:after="0" w:line="240" w:lineRule="auto"/>
              <w:rPr>
                <w:rFonts w:cs="Arial"/>
                <w:b/>
                <w:sz w:val="20"/>
                <w:szCs w:val="20"/>
              </w:rPr>
            </w:pPr>
            <w:r w:rsidRPr="003928DC">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r w:rsidRPr="003928DC">
              <w:rPr>
                <w:rFonts w:cs="Arial"/>
                <w:sz w:val="20"/>
                <w:szCs w:val="20"/>
              </w:rPr>
              <w:t>GG7010</w:t>
            </w:r>
          </w:p>
        </w:tc>
        <w:tc>
          <w:tcPr>
            <w:tcW w:w="563"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r w:rsidRPr="003928DC">
              <w:rPr>
                <w:rFonts w:cs="Arial"/>
                <w:sz w:val="20"/>
                <w:szCs w:val="20"/>
              </w:rPr>
              <w:t>GG7020</w:t>
            </w:r>
          </w:p>
        </w:tc>
        <w:tc>
          <w:tcPr>
            <w:tcW w:w="562"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r w:rsidRPr="003928DC">
              <w:rPr>
                <w:rFonts w:cs="Arial"/>
                <w:sz w:val="20"/>
                <w:szCs w:val="20"/>
              </w:rPr>
              <w:t>GG7030</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r w:rsidRPr="003928DC">
              <w:rPr>
                <w:rFonts w:cs="Arial"/>
                <w:sz w:val="20"/>
                <w:szCs w:val="20"/>
              </w:rPr>
              <w:t>GG7050</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r w:rsidRPr="003928DC">
              <w:rPr>
                <w:rFonts w:cs="Arial"/>
                <w:sz w:val="20"/>
                <w:szCs w:val="20"/>
              </w:rPr>
              <w:t>GG7900</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E46A43" w:rsidP="007E3C1C">
            <w:pPr>
              <w:spacing w:after="0" w:line="240" w:lineRule="auto"/>
              <w:ind w:left="113" w:right="113"/>
              <w:rPr>
                <w:rFonts w:cs="Arial"/>
                <w:sz w:val="20"/>
                <w:szCs w:val="20"/>
              </w:rPr>
            </w:pPr>
            <w:r w:rsidRPr="003928DC">
              <w:rPr>
                <w:rFonts w:cs="Arial"/>
                <w:sz w:val="20"/>
                <w:szCs w:val="20"/>
              </w:rPr>
              <w:t>LLM054</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024E41">
            <w:pPr>
              <w:spacing w:after="0" w:line="240" w:lineRule="auto"/>
              <w:ind w:left="113" w:right="113"/>
              <w:rPr>
                <w:rFonts w:cs="Arial"/>
                <w:sz w:val="20"/>
                <w:szCs w:val="20"/>
              </w:rPr>
            </w:pPr>
            <w:r w:rsidRPr="003928DC">
              <w:rPr>
                <w:rFonts w:cs="Arial"/>
                <w:sz w:val="20"/>
                <w:szCs w:val="20"/>
              </w:rPr>
              <w:t>SVM301</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024E41">
            <w:pPr>
              <w:spacing w:after="0" w:line="240" w:lineRule="auto"/>
              <w:ind w:left="113" w:right="113"/>
              <w:rPr>
                <w:rFonts w:cs="Arial"/>
                <w:sz w:val="20"/>
                <w:szCs w:val="20"/>
              </w:rPr>
            </w:pPr>
            <w:r w:rsidRPr="003928DC">
              <w:rPr>
                <w:rFonts w:cs="Arial"/>
                <w:sz w:val="20"/>
                <w:szCs w:val="20"/>
              </w:rPr>
              <w:t>SVM309</w:t>
            </w: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024E41">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664334" w:rsidRPr="003928DC" w:rsidRDefault="00664334" w:rsidP="007E3C1C">
            <w:pPr>
              <w:spacing w:after="0" w:line="240" w:lineRule="auto"/>
              <w:ind w:left="113" w:right="113"/>
              <w:rPr>
                <w:rFonts w:cs="Arial"/>
                <w:sz w:val="20"/>
                <w:szCs w:val="20"/>
              </w:rPr>
            </w:pPr>
          </w:p>
        </w:tc>
      </w:tr>
      <w:tr w:rsidR="00664334" w:rsidRPr="003928DC" w:rsidTr="007E3C1C">
        <w:trPr>
          <w:gridAfter w:val="1"/>
          <w:wAfter w:w="566"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664334" w:rsidRPr="003928DC" w:rsidRDefault="00664334" w:rsidP="007E3C1C">
            <w:pPr>
              <w:spacing w:after="0" w:line="240" w:lineRule="auto"/>
              <w:ind w:left="113" w:right="113"/>
              <w:jc w:val="center"/>
              <w:rPr>
                <w:rFonts w:cs="Arial"/>
                <w:sz w:val="20"/>
                <w:szCs w:val="20"/>
              </w:rPr>
            </w:pPr>
            <w:r w:rsidRPr="003928DC">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46A4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76DED"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76DED"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46A4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46A43"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2134"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3321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16F7A"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16F7A"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16F7A"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16F7A"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024E41"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val="restart"/>
            <w:tcBorders>
              <w:left w:val="single" w:sz="4" w:space="0" w:color="auto"/>
              <w:right w:val="single" w:sz="4" w:space="0" w:color="auto"/>
            </w:tcBorders>
            <w:shd w:val="clear" w:color="auto" w:fill="DBE5F1"/>
            <w:textDirection w:val="btLr"/>
          </w:tcPr>
          <w:p w:rsidR="00664334" w:rsidRPr="003928DC" w:rsidRDefault="00664334" w:rsidP="007E3C1C">
            <w:pPr>
              <w:spacing w:after="0" w:line="240" w:lineRule="auto"/>
              <w:ind w:left="113" w:right="113"/>
              <w:rPr>
                <w:rFonts w:cs="Arial"/>
                <w:b/>
                <w:sz w:val="20"/>
                <w:szCs w:val="20"/>
              </w:rPr>
            </w:pPr>
            <w:r w:rsidRPr="003928DC">
              <w:rPr>
                <w:rFonts w:cs="Arial"/>
                <w:b/>
                <w:sz w:val="20"/>
                <w:szCs w:val="20"/>
              </w:rPr>
              <w:t>Key Skills</w:t>
            </w: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Sell Awareness</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Communication</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571052"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Interpersonal</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CC4938"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CC4938"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CC4938"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CC4938"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rPr>
          <w:gridAfter w:val="1"/>
          <w:wAfter w:w="566" w:type="dxa"/>
        </w:trPr>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 xml:space="preserve">Research and Information </w:t>
            </w:r>
            <w:r w:rsidRPr="003928DC">
              <w:rPr>
                <w:rFonts w:cs="Arial"/>
                <w:b/>
                <w:sz w:val="20"/>
                <w:szCs w:val="20"/>
              </w:rPr>
              <w:lastRenderedPageBreak/>
              <w:t>Literacy</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lastRenderedPageBreak/>
              <w:t>DK1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CC4938"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Numeracy</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Management and Leadership</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EF69B9"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val="restart"/>
            <w:tcBorders>
              <w:left w:val="single" w:sz="4" w:space="0" w:color="auto"/>
              <w:right w:val="single" w:sz="4" w:space="0" w:color="auto"/>
            </w:tcBorders>
          </w:tcPr>
          <w:p w:rsidR="00664334" w:rsidRPr="003928DC" w:rsidRDefault="00664334" w:rsidP="007E3C1C">
            <w:pPr>
              <w:spacing w:after="0" w:line="240" w:lineRule="auto"/>
              <w:rPr>
                <w:rFonts w:cs="Arial"/>
                <w:b/>
                <w:sz w:val="20"/>
                <w:szCs w:val="20"/>
              </w:rPr>
            </w:pPr>
            <w:r w:rsidRPr="003928DC">
              <w:rPr>
                <w:rFonts w:cs="Arial"/>
                <w:b/>
                <w:sz w:val="20"/>
                <w:szCs w:val="20"/>
              </w:rPr>
              <w:t>Creativity and Problem Solving</w:t>
            </w: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r w:rsidR="00EF69B9"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r w:rsidR="00664334" w:rsidRPr="003928DC" w:rsidTr="007E3C1C">
        <w:tc>
          <w:tcPr>
            <w:tcW w:w="534" w:type="dxa"/>
            <w:vMerge/>
            <w:tcBorders>
              <w:left w:val="single" w:sz="4" w:space="0" w:color="auto"/>
              <w:bottom w:val="single" w:sz="4" w:space="0" w:color="auto"/>
              <w:right w:val="single" w:sz="4" w:space="0" w:color="auto"/>
            </w:tcBorders>
            <w:shd w:val="clear" w:color="auto" w:fill="DBE5F1"/>
          </w:tcPr>
          <w:p w:rsidR="00664334" w:rsidRPr="003928DC" w:rsidRDefault="00664334" w:rsidP="007E3C1C">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r w:rsidRPr="003928DC">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w:t>
            </w:r>
            <w:r w:rsidR="00EF69B9" w:rsidRPr="003928DC">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B13763" w:rsidP="007E3C1C">
            <w:pPr>
              <w:spacing w:after="0" w:line="240" w:lineRule="auto"/>
              <w:rPr>
                <w:rFonts w:cs="Arial"/>
                <w:sz w:val="20"/>
                <w:szCs w:val="20"/>
              </w:rPr>
            </w:pPr>
            <w:r w:rsidRPr="003928DC">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664334" w:rsidRPr="003928DC" w:rsidRDefault="00664334" w:rsidP="007E3C1C">
            <w:pPr>
              <w:spacing w:after="0" w:line="240" w:lineRule="auto"/>
              <w:rPr>
                <w:rFonts w:cs="Arial"/>
                <w:sz w:val="20"/>
                <w:szCs w:val="20"/>
              </w:rPr>
            </w:pPr>
          </w:p>
        </w:tc>
      </w:tr>
    </w:tbl>
    <w:p w:rsidR="00316D9A" w:rsidRPr="003928DC" w:rsidRDefault="00316D9A" w:rsidP="005B1266">
      <w:pPr>
        <w:spacing w:after="0" w:line="240" w:lineRule="auto"/>
        <w:rPr>
          <w:rFonts w:cs="Arial"/>
        </w:rPr>
      </w:pPr>
    </w:p>
    <w:p w:rsidR="008C3ABD" w:rsidRPr="003928DC" w:rsidRDefault="008C3ABD" w:rsidP="009B695C">
      <w:pPr>
        <w:tabs>
          <w:tab w:val="left" w:pos="426"/>
        </w:tabs>
        <w:spacing w:after="0" w:line="240" w:lineRule="auto"/>
        <w:rPr>
          <w:rFonts w:cs="Arial"/>
        </w:rPr>
      </w:pPr>
      <w:r w:rsidRPr="003928DC">
        <w:rPr>
          <w:rFonts w:cs="Arial"/>
          <w:b/>
        </w:rPr>
        <w:t xml:space="preserve">S </w:t>
      </w:r>
      <w:r w:rsidR="009B695C" w:rsidRPr="003928DC">
        <w:rPr>
          <w:rFonts w:cs="Arial"/>
        </w:rPr>
        <w:tab/>
      </w:r>
      <w:r w:rsidRPr="003928DC">
        <w:rPr>
          <w:rFonts w:cs="Arial"/>
        </w:rPr>
        <w:t xml:space="preserve">indicates where a summative assessment occurs.  </w:t>
      </w:r>
    </w:p>
    <w:p w:rsidR="005B1266" w:rsidRPr="003928DC" w:rsidRDefault="008C3ABD" w:rsidP="009B695C">
      <w:pPr>
        <w:tabs>
          <w:tab w:val="left" w:pos="426"/>
        </w:tabs>
        <w:spacing w:after="0" w:line="240" w:lineRule="auto"/>
        <w:rPr>
          <w:rFonts w:cs="Arial"/>
        </w:rPr>
      </w:pPr>
      <w:proofErr w:type="gramStart"/>
      <w:r w:rsidRPr="003928DC">
        <w:rPr>
          <w:rFonts w:cs="Arial"/>
          <w:b/>
        </w:rPr>
        <w:t>F</w:t>
      </w:r>
      <w:r w:rsidR="009B695C" w:rsidRPr="003928DC">
        <w:rPr>
          <w:rFonts w:cs="Arial"/>
        </w:rPr>
        <w:tab/>
      </w:r>
      <w:r w:rsidRPr="003928DC">
        <w:rPr>
          <w:rFonts w:cs="Arial"/>
        </w:rPr>
        <w:t>where formative assessment/feedback occurs.</w:t>
      </w:r>
      <w:proofErr w:type="gramEnd"/>
      <w:r w:rsidRPr="003928DC">
        <w:rPr>
          <w:rFonts w:cs="Arial"/>
        </w:rPr>
        <w:t xml:space="preserve">  </w:t>
      </w:r>
    </w:p>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b/>
        </w:rPr>
      </w:pPr>
    </w:p>
    <w:p w:rsidR="005B1266" w:rsidRPr="003928DC" w:rsidRDefault="005B1266" w:rsidP="005B1266">
      <w:pPr>
        <w:spacing w:after="0" w:line="240" w:lineRule="auto"/>
        <w:rPr>
          <w:rFonts w:cs="Arial"/>
          <w:b/>
        </w:rPr>
      </w:pPr>
    </w:p>
    <w:p w:rsidR="005B1266" w:rsidRPr="003928DC" w:rsidRDefault="005D5B51" w:rsidP="005D5B51">
      <w:pPr>
        <w:spacing w:after="0" w:line="240" w:lineRule="auto"/>
        <w:rPr>
          <w:rFonts w:cs="Arial"/>
        </w:rPr>
      </w:pPr>
      <w:r w:rsidRPr="003928DC">
        <w:rPr>
          <w:rFonts w:cs="Arial"/>
        </w:rPr>
        <w:t xml:space="preserve"> </w:t>
      </w:r>
    </w:p>
    <w:p w:rsidR="005B1266" w:rsidRPr="003928DC" w:rsidRDefault="005B1266" w:rsidP="005B1266">
      <w:pPr>
        <w:spacing w:after="0" w:line="240" w:lineRule="auto"/>
        <w:rPr>
          <w:rFonts w:cs="Arial"/>
        </w:rPr>
        <w:sectPr w:rsidR="005B1266" w:rsidRPr="003928DC" w:rsidSect="00EB7B51">
          <w:pgSz w:w="16838" w:h="11906" w:orient="landscape"/>
          <w:pgMar w:top="720" w:right="720" w:bottom="720" w:left="720" w:header="709" w:footer="709" w:gutter="0"/>
          <w:cols w:space="708"/>
          <w:docGrid w:linePitch="360"/>
        </w:sectPr>
      </w:pPr>
    </w:p>
    <w:p w:rsidR="005B1266" w:rsidRPr="003928DC" w:rsidRDefault="005B1266" w:rsidP="005B1266">
      <w:pPr>
        <w:spacing w:after="0" w:line="240" w:lineRule="auto"/>
        <w:rPr>
          <w:rFonts w:cs="Arial"/>
          <w:b/>
        </w:rPr>
      </w:pPr>
      <w:r w:rsidRPr="003928DC">
        <w:rPr>
          <w:rFonts w:cs="Arial"/>
          <w:b/>
        </w:rPr>
        <w:lastRenderedPageBreak/>
        <w:t>Technical Annex</w:t>
      </w:r>
    </w:p>
    <w:p w:rsidR="005B1266" w:rsidRPr="003928DC"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Final Award(s):</w:t>
            </w:r>
          </w:p>
          <w:p w:rsidR="005B1266" w:rsidRPr="003928DC" w:rsidRDefault="005B1266" w:rsidP="00EB7B51">
            <w:pPr>
              <w:spacing w:after="0" w:line="240" w:lineRule="auto"/>
              <w:rPr>
                <w:rFonts w:cs="Arial"/>
                <w:b/>
              </w:rPr>
            </w:pPr>
          </w:p>
        </w:tc>
        <w:tc>
          <w:tcPr>
            <w:tcW w:w="5306" w:type="dxa"/>
          </w:tcPr>
          <w:p w:rsidR="005B1266" w:rsidRPr="003928DC" w:rsidRDefault="00DA160F" w:rsidP="00EB7B51">
            <w:pPr>
              <w:spacing w:after="0" w:line="240" w:lineRule="auto"/>
              <w:rPr>
                <w:rFonts w:cs="Arial"/>
                <w:i/>
              </w:rPr>
            </w:pPr>
            <w:r w:rsidRPr="003928DC">
              <w:rPr>
                <w:rFonts w:cs="Arial"/>
                <w:i/>
              </w:rPr>
              <w:t>MSc Sustainability and Environmental Change</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Intermediate Award(s):</w:t>
            </w:r>
          </w:p>
          <w:p w:rsidR="005B1266" w:rsidRPr="003928DC" w:rsidRDefault="005B1266" w:rsidP="00EB7B51">
            <w:pPr>
              <w:spacing w:after="0" w:line="240" w:lineRule="auto"/>
              <w:rPr>
                <w:rFonts w:cs="Arial"/>
                <w:b/>
              </w:rPr>
            </w:pPr>
          </w:p>
        </w:tc>
        <w:tc>
          <w:tcPr>
            <w:tcW w:w="5306" w:type="dxa"/>
          </w:tcPr>
          <w:p w:rsidR="005B1266" w:rsidRPr="003928DC" w:rsidRDefault="005B1266" w:rsidP="00EB7B51">
            <w:pPr>
              <w:spacing w:after="0" w:line="240" w:lineRule="auto"/>
              <w:rPr>
                <w:rFonts w:cs="Arial"/>
                <w:i/>
              </w:rPr>
            </w:pPr>
            <w:proofErr w:type="spellStart"/>
            <w:r w:rsidRPr="003928DC">
              <w:rPr>
                <w:rFonts w:cs="Arial"/>
                <w:i/>
              </w:rPr>
              <w:t>PgCert</w:t>
            </w:r>
            <w:proofErr w:type="spellEnd"/>
            <w:r w:rsidR="00DA160F" w:rsidRPr="003928DC">
              <w:rPr>
                <w:rFonts w:cs="Arial"/>
                <w:i/>
              </w:rPr>
              <w:t xml:space="preserve"> (60 credits); </w:t>
            </w:r>
            <w:proofErr w:type="spellStart"/>
            <w:r w:rsidR="00DA160F" w:rsidRPr="003928DC">
              <w:rPr>
                <w:rFonts w:cs="Arial"/>
                <w:i/>
              </w:rPr>
              <w:t>PgDip</w:t>
            </w:r>
            <w:proofErr w:type="spellEnd"/>
            <w:r w:rsidR="00DA160F" w:rsidRPr="003928DC">
              <w:rPr>
                <w:rFonts w:cs="Arial"/>
                <w:i/>
              </w:rPr>
              <w:t xml:space="preserve"> (120 credits)</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Minimum period of registration:</w:t>
            </w:r>
          </w:p>
        </w:tc>
        <w:tc>
          <w:tcPr>
            <w:tcW w:w="5306" w:type="dxa"/>
          </w:tcPr>
          <w:p w:rsidR="005B1266" w:rsidRPr="003928DC" w:rsidRDefault="00DA160F" w:rsidP="00EB7B51">
            <w:pPr>
              <w:spacing w:after="0" w:line="240" w:lineRule="auto"/>
              <w:rPr>
                <w:rFonts w:cs="Arial"/>
                <w:i/>
              </w:rPr>
            </w:pPr>
            <w:r w:rsidRPr="003928DC">
              <w:rPr>
                <w:rFonts w:cs="Arial"/>
                <w:i/>
              </w:rPr>
              <w:t>1 year</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Maximum period of registration:</w:t>
            </w:r>
          </w:p>
        </w:tc>
        <w:tc>
          <w:tcPr>
            <w:tcW w:w="5306" w:type="dxa"/>
          </w:tcPr>
          <w:p w:rsidR="005B1266" w:rsidRPr="003928DC" w:rsidRDefault="00DA160F" w:rsidP="00EB7B51">
            <w:pPr>
              <w:spacing w:after="0" w:line="240" w:lineRule="auto"/>
              <w:rPr>
                <w:rFonts w:cs="Arial"/>
                <w:i/>
              </w:rPr>
            </w:pPr>
            <w:r w:rsidRPr="003928DC">
              <w:rPr>
                <w:rFonts w:cs="Arial"/>
                <w:i/>
              </w:rPr>
              <w:t>3 year</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FHEQ Level for the Final Award:</w:t>
            </w:r>
          </w:p>
          <w:p w:rsidR="005B1266" w:rsidRPr="003928DC" w:rsidRDefault="005B1266" w:rsidP="00EB7B51">
            <w:pPr>
              <w:spacing w:after="0" w:line="240" w:lineRule="auto"/>
              <w:rPr>
                <w:rFonts w:cs="Arial"/>
                <w:b/>
              </w:rPr>
            </w:pPr>
          </w:p>
        </w:tc>
        <w:tc>
          <w:tcPr>
            <w:tcW w:w="5306" w:type="dxa"/>
          </w:tcPr>
          <w:p w:rsidR="005B1266" w:rsidRPr="003928DC" w:rsidRDefault="00DA160F" w:rsidP="00EB7B51">
            <w:pPr>
              <w:spacing w:after="0" w:line="240" w:lineRule="auto"/>
              <w:rPr>
                <w:rFonts w:cs="Arial"/>
                <w:i/>
              </w:rPr>
            </w:pPr>
            <w:r w:rsidRPr="003928DC">
              <w:rPr>
                <w:rFonts w:cs="Arial"/>
                <w:i/>
              </w:rPr>
              <w:t>Masters</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QAA Subject Benchmark:</w:t>
            </w:r>
          </w:p>
        </w:tc>
        <w:tc>
          <w:tcPr>
            <w:tcW w:w="5306" w:type="dxa"/>
          </w:tcPr>
          <w:p w:rsidR="005B1266" w:rsidRPr="003928DC" w:rsidRDefault="00DA160F" w:rsidP="00EB7B51">
            <w:pPr>
              <w:spacing w:after="0" w:line="240" w:lineRule="auto"/>
              <w:rPr>
                <w:rFonts w:cs="Arial"/>
                <w:i/>
              </w:rPr>
            </w:pPr>
            <w:r w:rsidRPr="003928DC">
              <w:rPr>
                <w:rFonts w:cs="Arial"/>
                <w:i/>
              </w:rPr>
              <w:t>None</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Modes of Delivery:</w:t>
            </w:r>
          </w:p>
        </w:tc>
        <w:tc>
          <w:tcPr>
            <w:tcW w:w="5306" w:type="dxa"/>
          </w:tcPr>
          <w:p w:rsidR="005B1266" w:rsidRPr="003928DC" w:rsidRDefault="00DA160F" w:rsidP="00EB7B51">
            <w:pPr>
              <w:spacing w:after="0" w:line="240" w:lineRule="auto"/>
              <w:rPr>
                <w:rFonts w:cs="Arial"/>
                <w:i/>
              </w:rPr>
            </w:pPr>
            <w:r w:rsidRPr="003928DC">
              <w:rPr>
                <w:rFonts w:cs="Arial"/>
                <w:i/>
              </w:rPr>
              <w:t>On-site</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Language of Delivery:</w:t>
            </w:r>
          </w:p>
        </w:tc>
        <w:tc>
          <w:tcPr>
            <w:tcW w:w="5306" w:type="dxa"/>
          </w:tcPr>
          <w:p w:rsidR="005B1266" w:rsidRPr="003928DC" w:rsidRDefault="00DA160F" w:rsidP="00EB7B51">
            <w:pPr>
              <w:spacing w:after="0" w:line="240" w:lineRule="auto"/>
              <w:rPr>
                <w:rFonts w:cs="Arial"/>
                <w:i/>
              </w:rPr>
            </w:pPr>
            <w:r w:rsidRPr="003928DC">
              <w:rPr>
                <w:rFonts w:cs="Arial"/>
                <w:i/>
              </w:rPr>
              <w:t>English</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Faculty:</w:t>
            </w:r>
          </w:p>
        </w:tc>
        <w:tc>
          <w:tcPr>
            <w:tcW w:w="5306" w:type="dxa"/>
          </w:tcPr>
          <w:p w:rsidR="005B1266" w:rsidRPr="003928DC" w:rsidRDefault="00DA160F" w:rsidP="00EB7B51">
            <w:pPr>
              <w:spacing w:after="0" w:line="240" w:lineRule="auto"/>
              <w:rPr>
                <w:rFonts w:cs="Arial"/>
                <w:i/>
              </w:rPr>
            </w:pPr>
            <w:r w:rsidRPr="003928DC">
              <w:rPr>
                <w:rFonts w:cs="Arial"/>
                <w:i/>
              </w:rPr>
              <w:t>Science, Engineering and Computing (SEC)</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School:</w:t>
            </w:r>
          </w:p>
        </w:tc>
        <w:tc>
          <w:tcPr>
            <w:tcW w:w="5306" w:type="dxa"/>
          </w:tcPr>
          <w:p w:rsidR="005B1266" w:rsidRPr="003928DC" w:rsidRDefault="00DA160F" w:rsidP="00EB7B51">
            <w:pPr>
              <w:spacing w:after="0" w:line="240" w:lineRule="auto"/>
              <w:rPr>
                <w:rFonts w:cs="Arial"/>
                <w:i/>
              </w:rPr>
            </w:pPr>
            <w:r w:rsidRPr="003928DC">
              <w:rPr>
                <w:rFonts w:cs="Arial"/>
                <w:i/>
              </w:rPr>
              <w:t>Geography, Geology and the Environment (GGE)</w:t>
            </w:r>
          </w:p>
        </w:tc>
      </w:tr>
      <w:tr w:rsidR="005B1266" w:rsidRPr="003928DC" w:rsidTr="00EB7B51">
        <w:tc>
          <w:tcPr>
            <w:tcW w:w="3936" w:type="dxa"/>
          </w:tcPr>
          <w:p w:rsidR="005B1266" w:rsidRPr="003928DC" w:rsidRDefault="005B1266" w:rsidP="009B695C">
            <w:pPr>
              <w:spacing w:after="0" w:line="240" w:lineRule="auto"/>
              <w:rPr>
                <w:rFonts w:cs="Arial"/>
                <w:b/>
              </w:rPr>
            </w:pPr>
            <w:r w:rsidRPr="003928DC">
              <w:rPr>
                <w:rFonts w:cs="Arial"/>
                <w:b/>
              </w:rPr>
              <w:t>JAC</w:t>
            </w:r>
            <w:r w:rsidR="009B695C" w:rsidRPr="003928DC">
              <w:rPr>
                <w:rFonts w:cs="Arial"/>
                <w:b/>
              </w:rPr>
              <w:t>S</w:t>
            </w:r>
            <w:r w:rsidRPr="003928DC">
              <w:rPr>
                <w:rFonts w:cs="Arial"/>
                <w:b/>
              </w:rPr>
              <w:t xml:space="preserve"> code:</w:t>
            </w:r>
          </w:p>
        </w:tc>
        <w:tc>
          <w:tcPr>
            <w:tcW w:w="5306" w:type="dxa"/>
          </w:tcPr>
          <w:p w:rsidR="005B1266" w:rsidRPr="003928DC" w:rsidRDefault="005B1266" w:rsidP="00EB7B51">
            <w:pPr>
              <w:spacing w:after="0" w:line="240" w:lineRule="auto"/>
              <w:rPr>
                <w:rFonts w:cs="Arial"/>
                <w:i/>
              </w:rPr>
            </w:pPr>
            <w:r w:rsidRPr="003928DC">
              <w:rPr>
                <w:rFonts w:cs="Arial"/>
                <w:i/>
              </w:rPr>
              <w:t xml:space="preserve">This is the </w:t>
            </w:r>
            <w:hyperlink r:id="rId8" w:history="1">
              <w:r w:rsidRPr="003928DC">
                <w:rPr>
                  <w:rStyle w:val="Hyperlink"/>
                  <w:rFonts w:cs="Arial"/>
                  <w:i/>
                </w:rPr>
                <w:t>Joint Academic Coding System</w:t>
              </w:r>
            </w:hyperlink>
            <w:r w:rsidRPr="003928DC">
              <w:rPr>
                <w:rFonts w:cs="Arial"/>
                <w:i/>
              </w:rPr>
              <w:t xml:space="preserve"> (JACS) agreed jointly by UCAS and HESA.  </w:t>
            </w: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UCAS Code:</w:t>
            </w:r>
          </w:p>
        </w:tc>
        <w:tc>
          <w:tcPr>
            <w:tcW w:w="5306" w:type="dxa"/>
          </w:tcPr>
          <w:p w:rsidR="005B1266" w:rsidRPr="003928DC" w:rsidRDefault="005B1266" w:rsidP="00EB7B51">
            <w:pPr>
              <w:spacing w:after="0" w:line="240" w:lineRule="auto"/>
              <w:rPr>
                <w:rFonts w:cs="Arial"/>
                <w:i/>
              </w:rPr>
            </w:pP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Course Code:</w:t>
            </w:r>
          </w:p>
        </w:tc>
        <w:tc>
          <w:tcPr>
            <w:tcW w:w="5306" w:type="dxa"/>
          </w:tcPr>
          <w:p w:rsidR="005B1266" w:rsidRPr="003928DC" w:rsidRDefault="005B1266" w:rsidP="00EB7B51">
            <w:pPr>
              <w:spacing w:after="0" w:line="240" w:lineRule="auto"/>
              <w:rPr>
                <w:rFonts w:cs="Arial"/>
                <w:i/>
              </w:rPr>
            </w:pPr>
          </w:p>
        </w:tc>
      </w:tr>
      <w:tr w:rsidR="005B1266" w:rsidRPr="003928DC" w:rsidTr="00EB7B51">
        <w:tc>
          <w:tcPr>
            <w:tcW w:w="3936" w:type="dxa"/>
          </w:tcPr>
          <w:p w:rsidR="005B1266" w:rsidRPr="003928DC" w:rsidRDefault="005B1266" w:rsidP="00EB7B51">
            <w:pPr>
              <w:spacing w:after="0" w:line="240" w:lineRule="auto"/>
              <w:rPr>
                <w:rFonts w:cs="Arial"/>
                <w:b/>
              </w:rPr>
            </w:pPr>
            <w:r w:rsidRPr="003928DC">
              <w:rPr>
                <w:rFonts w:cs="Arial"/>
                <w:b/>
              </w:rPr>
              <w:t>Route Code:</w:t>
            </w:r>
          </w:p>
        </w:tc>
        <w:tc>
          <w:tcPr>
            <w:tcW w:w="5306" w:type="dxa"/>
          </w:tcPr>
          <w:p w:rsidR="005B1266" w:rsidRPr="003928DC" w:rsidRDefault="005B1266" w:rsidP="00EB7B51">
            <w:pPr>
              <w:spacing w:after="0" w:line="240" w:lineRule="auto"/>
              <w:rPr>
                <w:rFonts w:cs="Arial"/>
                <w:i/>
              </w:rPr>
            </w:pPr>
          </w:p>
        </w:tc>
      </w:tr>
      <w:tr w:rsidR="005B1266" w:rsidRPr="003928DC" w:rsidTr="00EB7B51">
        <w:tc>
          <w:tcPr>
            <w:tcW w:w="3936" w:type="dxa"/>
          </w:tcPr>
          <w:p w:rsidR="005B1266" w:rsidRPr="003928DC" w:rsidRDefault="005B1266" w:rsidP="00EB7B51">
            <w:pPr>
              <w:spacing w:after="0" w:line="240" w:lineRule="auto"/>
              <w:rPr>
                <w:rFonts w:cs="Arial"/>
                <w:b/>
              </w:rPr>
            </w:pPr>
          </w:p>
        </w:tc>
        <w:tc>
          <w:tcPr>
            <w:tcW w:w="5306" w:type="dxa"/>
          </w:tcPr>
          <w:p w:rsidR="005B1266" w:rsidRPr="003928DC" w:rsidRDefault="005B1266" w:rsidP="00EB7B51">
            <w:pPr>
              <w:spacing w:after="0" w:line="240" w:lineRule="auto"/>
              <w:rPr>
                <w:rFonts w:cs="Arial"/>
                <w:i/>
              </w:rPr>
            </w:pPr>
          </w:p>
        </w:tc>
      </w:tr>
    </w:tbl>
    <w:p w:rsidR="00612718" w:rsidRPr="003928DC" w:rsidRDefault="00612718" w:rsidP="00666A96"/>
    <w:sectPr w:rsidR="00612718" w:rsidRPr="003928DC"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6600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A0569"/>
    <w:multiLevelType w:val="hybridMultilevel"/>
    <w:tmpl w:val="8702DFAA"/>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217E4B"/>
    <w:multiLevelType w:val="hybridMultilevel"/>
    <w:tmpl w:val="0994F384"/>
    <w:lvl w:ilvl="0" w:tplc="9562341C">
      <w:start w:val="1"/>
      <w:numFmt w:val="bullet"/>
      <w:lvlText w:val=""/>
      <w:lvlJc w:val="left"/>
      <w:pPr>
        <w:tabs>
          <w:tab w:val="num" w:pos="1789"/>
        </w:tabs>
        <w:ind w:left="178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7">
    <w:nsid w:val="16CA72BA"/>
    <w:multiLevelType w:val="hybridMultilevel"/>
    <w:tmpl w:val="4624301C"/>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60E95"/>
    <w:multiLevelType w:val="hybridMultilevel"/>
    <w:tmpl w:val="FB0A3D4E"/>
    <w:lvl w:ilvl="0" w:tplc="9562341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661B6"/>
    <w:multiLevelType w:val="hybridMultilevel"/>
    <w:tmpl w:val="A81CC31A"/>
    <w:lvl w:ilvl="0" w:tplc="956234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E9C72C3"/>
    <w:multiLevelType w:val="hybridMultilevel"/>
    <w:tmpl w:val="E596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053AAE"/>
    <w:multiLevelType w:val="hybridMultilevel"/>
    <w:tmpl w:val="E88CD676"/>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4B71E32"/>
    <w:multiLevelType w:val="hybridMultilevel"/>
    <w:tmpl w:val="2A882344"/>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D7324E8"/>
    <w:multiLevelType w:val="hybridMultilevel"/>
    <w:tmpl w:val="03BA3164"/>
    <w:lvl w:ilvl="0" w:tplc="9562341C">
      <w:start w:val="1"/>
      <w:numFmt w:val="bullet"/>
      <w:lvlText w:val=""/>
      <w:lvlJc w:val="left"/>
      <w:pPr>
        <w:tabs>
          <w:tab w:val="num" w:pos="1080"/>
        </w:tabs>
        <w:ind w:left="1080" w:hanging="360"/>
      </w:pPr>
      <w:rPr>
        <w:rFonts w:ascii="Symbol" w:hAnsi="Symbol" w:hint="default"/>
        <w:color w:val="auto"/>
      </w:rPr>
    </w:lvl>
    <w:lvl w:ilvl="1" w:tplc="0D40A24A" w:tentative="1">
      <w:start w:val="1"/>
      <w:numFmt w:val="bullet"/>
      <w:lvlText w:val="o"/>
      <w:lvlJc w:val="left"/>
      <w:pPr>
        <w:tabs>
          <w:tab w:val="num" w:pos="1440"/>
        </w:tabs>
        <w:ind w:left="1440" w:hanging="360"/>
      </w:pPr>
      <w:rPr>
        <w:rFonts w:ascii="Courier New" w:hAnsi="Courier New" w:cs="Courier New" w:hint="default"/>
      </w:rPr>
    </w:lvl>
    <w:lvl w:ilvl="2" w:tplc="5FBE8C66" w:tentative="1">
      <w:start w:val="1"/>
      <w:numFmt w:val="bullet"/>
      <w:lvlText w:val=""/>
      <w:lvlJc w:val="left"/>
      <w:pPr>
        <w:tabs>
          <w:tab w:val="num" w:pos="2160"/>
        </w:tabs>
        <w:ind w:left="2160" w:hanging="360"/>
      </w:pPr>
      <w:rPr>
        <w:rFonts w:ascii="Wingdings" w:hAnsi="Wingdings" w:hint="default"/>
      </w:rPr>
    </w:lvl>
    <w:lvl w:ilvl="3" w:tplc="9C7245A0" w:tentative="1">
      <w:start w:val="1"/>
      <w:numFmt w:val="bullet"/>
      <w:lvlText w:val=""/>
      <w:lvlJc w:val="left"/>
      <w:pPr>
        <w:tabs>
          <w:tab w:val="num" w:pos="2880"/>
        </w:tabs>
        <w:ind w:left="2880" w:hanging="360"/>
      </w:pPr>
      <w:rPr>
        <w:rFonts w:ascii="Symbol" w:hAnsi="Symbol" w:hint="default"/>
      </w:rPr>
    </w:lvl>
    <w:lvl w:ilvl="4" w:tplc="94AE45A6" w:tentative="1">
      <w:start w:val="1"/>
      <w:numFmt w:val="bullet"/>
      <w:lvlText w:val="o"/>
      <w:lvlJc w:val="left"/>
      <w:pPr>
        <w:tabs>
          <w:tab w:val="num" w:pos="3600"/>
        </w:tabs>
        <w:ind w:left="3600" w:hanging="360"/>
      </w:pPr>
      <w:rPr>
        <w:rFonts w:ascii="Courier New" w:hAnsi="Courier New" w:cs="Courier New" w:hint="default"/>
      </w:rPr>
    </w:lvl>
    <w:lvl w:ilvl="5" w:tplc="4536AE82" w:tentative="1">
      <w:start w:val="1"/>
      <w:numFmt w:val="bullet"/>
      <w:lvlText w:val=""/>
      <w:lvlJc w:val="left"/>
      <w:pPr>
        <w:tabs>
          <w:tab w:val="num" w:pos="4320"/>
        </w:tabs>
        <w:ind w:left="4320" w:hanging="360"/>
      </w:pPr>
      <w:rPr>
        <w:rFonts w:ascii="Wingdings" w:hAnsi="Wingdings" w:hint="default"/>
      </w:rPr>
    </w:lvl>
    <w:lvl w:ilvl="6" w:tplc="35A41EB4" w:tentative="1">
      <w:start w:val="1"/>
      <w:numFmt w:val="bullet"/>
      <w:lvlText w:val=""/>
      <w:lvlJc w:val="left"/>
      <w:pPr>
        <w:tabs>
          <w:tab w:val="num" w:pos="5040"/>
        </w:tabs>
        <w:ind w:left="5040" w:hanging="360"/>
      </w:pPr>
      <w:rPr>
        <w:rFonts w:ascii="Symbol" w:hAnsi="Symbol" w:hint="default"/>
      </w:rPr>
    </w:lvl>
    <w:lvl w:ilvl="7" w:tplc="34F88B70" w:tentative="1">
      <w:start w:val="1"/>
      <w:numFmt w:val="bullet"/>
      <w:lvlText w:val="o"/>
      <w:lvlJc w:val="left"/>
      <w:pPr>
        <w:tabs>
          <w:tab w:val="num" w:pos="5760"/>
        </w:tabs>
        <w:ind w:left="5760" w:hanging="360"/>
      </w:pPr>
      <w:rPr>
        <w:rFonts w:ascii="Courier New" w:hAnsi="Courier New" w:cs="Courier New" w:hint="default"/>
      </w:rPr>
    </w:lvl>
    <w:lvl w:ilvl="8" w:tplc="E55A51A4" w:tentative="1">
      <w:start w:val="1"/>
      <w:numFmt w:val="bullet"/>
      <w:lvlText w:val=""/>
      <w:lvlJc w:val="left"/>
      <w:pPr>
        <w:tabs>
          <w:tab w:val="num" w:pos="6480"/>
        </w:tabs>
        <w:ind w:left="6480" w:hanging="360"/>
      </w:pPr>
      <w:rPr>
        <w:rFonts w:ascii="Wingdings" w:hAnsi="Wingdings" w:hint="default"/>
      </w:rPr>
    </w:lvl>
  </w:abstractNum>
  <w:abstractNum w:abstractNumId="19">
    <w:nsid w:val="3D890360"/>
    <w:multiLevelType w:val="hybridMultilevel"/>
    <w:tmpl w:val="3C8EA3EA"/>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19D784E"/>
    <w:multiLevelType w:val="hybridMultilevel"/>
    <w:tmpl w:val="23944C68"/>
    <w:lvl w:ilvl="0" w:tplc="9562341C">
      <w:start w:val="1"/>
      <w:numFmt w:val="bullet"/>
      <w:lvlText w:val=""/>
      <w:lvlJc w:val="left"/>
      <w:pPr>
        <w:tabs>
          <w:tab w:val="num" w:pos="1080"/>
        </w:tabs>
        <w:ind w:left="1080" w:hanging="360"/>
      </w:pPr>
      <w:rPr>
        <w:rFonts w:ascii="Symbol" w:hAnsi="Symbol" w:hint="default"/>
        <w:color w:val="auto"/>
      </w:rPr>
    </w:lvl>
    <w:lvl w:ilvl="1" w:tplc="AEAEBFB8" w:tentative="1">
      <w:start w:val="1"/>
      <w:numFmt w:val="bullet"/>
      <w:lvlText w:val="o"/>
      <w:lvlJc w:val="left"/>
      <w:pPr>
        <w:tabs>
          <w:tab w:val="num" w:pos="1080"/>
        </w:tabs>
        <w:ind w:left="1080" w:hanging="360"/>
      </w:pPr>
      <w:rPr>
        <w:rFonts w:ascii="Courier New" w:hAnsi="Courier New" w:cs="Courier New" w:hint="default"/>
      </w:rPr>
    </w:lvl>
    <w:lvl w:ilvl="2" w:tplc="80F24E0A" w:tentative="1">
      <w:start w:val="1"/>
      <w:numFmt w:val="bullet"/>
      <w:lvlText w:val=""/>
      <w:lvlJc w:val="left"/>
      <w:pPr>
        <w:tabs>
          <w:tab w:val="num" w:pos="1800"/>
        </w:tabs>
        <w:ind w:left="1800" w:hanging="360"/>
      </w:pPr>
      <w:rPr>
        <w:rFonts w:ascii="Wingdings" w:hAnsi="Wingdings" w:hint="default"/>
      </w:rPr>
    </w:lvl>
    <w:lvl w:ilvl="3" w:tplc="59E06B22" w:tentative="1">
      <w:start w:val="1"/>
      <w:numFmt w:val="bullet"/>
      <w:lvlText w:val=""/>
      <w:lvlJc w:val="left"/>
      <w:pPr>
        <w:tabs>
          <w:tab w:val="num" w:pos="2520"/>
        </w:tabs>
        <w:ind w:left="2520" w:hanging="360"/>
      </w:pPr>
      <w:rPr>
        <w:rFonts w:ascii="Symbol" w:hAnsi="Symbol" w:hint="default"/>
      </w:rPr>
    </w:lvl>
    <w:lvl w:ilvl="4" w:tplc="92320CF4" w:tentative="1">
      <w:start w:val="1"/>
      <w:numFmt w:val="bullet"/>
      <w:lvlText w:val="o"/>
      <w:lvlJc w:val="left"/>
      <w:pPr>
        <w:tabs>
          <w:tab w:val="num" w:pos="3240"/>
        </w:tabs>
        <w:ind w:left="3240" w:hanging="360"/>
      </w:pPr>
      <w:rPr>
        <w:rFonts w:ascii="Courier New" w:hAnsi="Courier New" w:cs="Courier New" w:hint="default"/>
      </w:rPr>
    </w:lvl>
    <w:lvl w:ilvl="5" w:tplc="5CE6594E" w:tentative="1">
      <w:start w:val="1"/>
      <w:numFmt w:val="bullet"/>
      <w:lvlText w:val=""/>
      <w:lvlJc w:val="left"/>
      <w:pPr>
        <w:tabs>
          <w:tab w:val="num" w:pos="3960"/>
        </w:tabs>
        <w:ind w:left="3960" w:hanging="360"/>
      </w:pPr>
      <w:rPr>
        <w:rFonts w:ascii="Wingdings" w:hAnsi="Wingdings" w:hint="default"/>
      </w:rPr>
    </w:lvl>
    <w:lvl w:ilvl="6" w:tplc="9B163314" w:tentative="1">
      <w:start w:val="1"/>
      <w:numFmt w:val="bullet"/>
      <w:lvlText w:val=""/>
      <w:lvlJc w:val="left"/>
      <w:pPr>
        <w:tabs>
          <w:tab w:val="num" w:pos="4680"/>
        </w:tabs>
        <w:ind w:left="4680" w:hanging="360"/>
      </w:pPr>
      <w:rPr>
        <w:rFonts w:ascii="Symbol" w:hAnsi="Symbol" w:hint="default"/>
      </w:rPr>
    </w:lvl>
    <w:lvl w:ilvl="7" w:tplc="165ACFE2" w:tentative="1">
      <w:start w:val="1"/>
      <w:numFmt w:val="bullet"/>
      <w:lvlText w:val="o"/>
      <w:lvlJc w:val="left"/>
      <w:pPr>
        <w:tabs>
          <w:tab w:val="num" w:pos="5400"/>
        </w:tabs>
        <w:ind w:left="5400" w:hanging="360"/>
      </w:pPr>
      <w:rPr>
        <w:rFonts w:ascii="Courier New" w:hAnsi="Courier New" w:cs="Courier New" w:hint="default"/>
      </w:rPr>
    </w:lvl>
    <w:lvl w:ilvl="8" w:tplc="CF543E28" w:tentative="1">
      <w:start w:val="1"/>
      <w:numFmt w:val="bullet"/>
      <w:lvlText w:val=""/>
      <w:lvlJc w:val="left"/>
      <w:pPr>
        <w:tabs>
          <w:tab w:val="num" w:pos="6120"/>
        </w:tabs>
        <w:ind w:left="6120" w:hanging="360"/>
      </w:pPr>
      <w:rPr>
        <w:rFonts w:ascii="Wingdings" w:hAnsi="Wingdings" w:hint="default"/>
      </w:rPr>
    </w:lvl>
  </w:abstractNum>
  <w:abstractNum w:abstractNumId="21">
    <w:nsid w:val="481A555A"/>
    <w:multiLevelType w:val="hybridMultilevel"/>
    <w:tmpl w:val="59AA24B6"/>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96567D5"/>
    <w:multiLevelType w:val="hybridMultilevel"/>
    <w:tmpl w:val="211EBC7E"/>
    <w:lvl w:ilvl="0" w:tplc="9562341C">
      <w:start w:val="1"/>
      <w:numFmt w:val="bullet"/>
      <w:lvlText w:val=""/>
      <w:lvlJc w:val="left"/>
      <w:pPr>
        <w:tabs>
          <w:tab w:val="num" w:pos="1200"/>
        </w:tabs>
        <w:ind w:left="1200" w:hanging="360"/>
      </w:pPr>
      <w:rPr>
        <w:rFonts w:ascii="Symbol" w:hAnsi="Symbol" w:hint="default"/>
        <w:color w:val="auto"/>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0A3436A"/>
    <w:multiLevelType w:val="hybridMultilevel"/>
    <w:tmpl w:val="F5C87C26"/>
    <w:lvl w:ilvl="0" w:tplc="38F476D2">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3B05AC8"/>
    <w:multiLevelType w:val="hybridMultilevel"/>
    <w:tmpl w:val="FDC2A812"/>
    <w:lvl w:ilvl="0" w:tplc="9562341C">
      <w:start w:val="1"/>
      <w:numFmt w:val="bullet"/>
      <w:lvlText w:val=""/>
      <w:lvlJc w:val="left"/>
      <w:pPr>
        <w:tabs>
          <w:tab w:val="num" w:pos="1069"/>
        </w:tabs>
        <w:ind w:left="106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7">
    <w:nsid w:val="57F80896"/>
    <w:multiLevelType w:val="hybridMultilevel"/>
    <w:tmpl w:val="0A9A3B64"/>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EB76E2F"/>
    <w:multiLevelType w:val="hybridMultilevel"/>
    <w:tmpl w:val="84D4375C"/>
    <w:lvl w:ilvl="0" w:tplc="956234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55E076B"/>
    <w:multiLevelType w:val="hybridMultilevel"/>
    <w:tmpl w:val="4BA69908"/>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nsid w:val="69B06399"/>
    <w:multiLevelType w:val="hybridMultilevel"/>
    <w:tmpl w:val="50927DF8"/>
    <w:lvl w:ilvl="0" w:tplc="9562341C">
      <w:start w:val="1"/>
      <w:numFmt w:val="bullet"/>
      <w:lvlText w:val=""/>
      <w:lvlJc w:val="left"/>
      <w:pPr>
        <w:tabs>
          <w:tab w:val="num" w:pos="1080"/>
        </w:tabs>
        <w:ind w:left="1080" w:hanging="360"/>
      </w:pPr>
      <w:rPr>
        <w:rFonts w:ascii="Symbol" w:hAnsi="Symbol" w:hint="default"/>
        <w:color w:val="auto"/>
      </w:rPr>
    </w:lvl>
    <w:lvl w:ilvl="1" w:tplc="98A6A084" w:tentative="1">
      <w:start w:val="1"/>
      <w:numFmt w:val="bullet"/>
      <w:lvlText w:val="o"/>
      <w:lvlJc w:val="left"/>
      <w:pPr>
        <w:tabs>
          <w:tab w:val="num" w:pos="1080"/>
        </w:tabs>
        <w:ind w:left="1080" w:hanging="360"/>
      </w:pPr>
      <w:rPr>
        <w:rFonts w:ascii="Courier New" w:hAnsi="Courier New" w:cs="Courier New" w:hint="default"/>
      </w:rPr>
    </w:lvl>
    <w:lvl w:ilvl="2" w:tplc="9AD6B434" w:tentative="1">
      <w:start w:val="1"/>
      <w:numFmt w:val="bullet"/>
      <w:lvlText w:val=""/>
      <w:lvlJc w:val="left"/>
      <w:pPr>
        <w:tabs>
          <w:tab w:val="num" w:pos="1800"/>
        </w:tabs>
        <w:ind w:left="1800" w:hanging="360"/>
      </w:pPr>
      <w:rPr>
        <w:rFonts w:ascii="Wingdings" w:hAnsi="Wingdings" w:hint="default"/>
      </w:rPr>
    </w:lvl>
    <w:lvl w:ilvl="3" w:tplc="A91E7D16" w:tentative="1">
      <w:start w:val="1"/>
      <w:numFmt w:val="bullet"/>
      <w:lvlText w:val=""/>
      <w:lvlJc w:val="left"/>
      <w:pPr>
        <w:tabs>
          <w:tab w:val="num" w:pos="2520"/>
        </w:tabs>
        <w:ind w:left="2520" w:hanging="360"/>
      </w:pPr>
      <w:rPr>
        <w:rFonts w:ascii="Symbol" w:hAnsi="Symbol" w:hint="default"/>
      </w:rPr>
    </w:lvl>
    <w:lvl w:ilvl="4" w:tplc="3DECDF6E" w:tentative="1">
      <w:start w:val="1"/>
      <w:numFmt w:val="bullet"/>
      <w:lvlText w:val="o"/>
      <w:lvlJc w:val="left"/>
      <w:pPr>
        <w:tabs>
          <w:tab w:val="num" w:pos="3240"/>
        </w:tabs>
        <w:ind w:left="3240" w:hanging="360"/>
      </w:pPr>
      <w:rPr>
        <w:rFonts w:ascii="Courier New" w:hAnsi="Courier New" w:cs="Courier New" w:hint="default"/>
      </w:rPr>
    </w:lvl>
    <w:lvl w:ilvl="5" w:tplc="FE7ED13A" w:tentative="1">
      <w:start w:val="1"/>
      <w:numFmt w:val="bullet"/>
      <w:lvlText w:val=""/>
      <w:lvlJc w:val="left"/>
      <w:pPr>
        <w:tabs>
          <w:tab w:val="num" w:pos="3960"/>
        </w:tabs>
        <w:ind w:left="3960" w:hanging="360"/>
      </w:pPr>
      <w:rPr>
        <w:rFonts w:ascii="Wingdings" w:hAnsi="Wingdings" w:hint="default"/>
      </w:rPr>
    </w:lvl>
    <w:lvl w:ilvl="6" w:tplc="350EE58E" w:tentative="1">
      <w:start w:val="1"/>
      <w:numFmt w:val="bullet"/>
      <w:lvlText w:val=""/>
      <w:lvlJc w:val="left"/>
      <w:pPr>
        <w:tabs>
          <w:tab w:val="num" w:pos="4680"/>
        </w:tabs>
        <w:ind w:left="4680" w:hanging="360"/>
      </w:pPr>
      <w:rPr>
        <w:rFonts w:ascii="Symbol" w:hAnsi="Symbol" w:hint="default"/>
      </w:rPr>
    </w:lvl>
    <w:lvl w:ilvl="7" w:tplc="04F47BAC" w:tentative="1">
      <w:start w:val="1"/>
      <w:numFmt w:val="bullet"/>
      <w:lvlText w:val="o"/>
      <w:lvlJc w:val="left"/>
      <w:pPr>
        <w:tabs>
          <w:tab w:val="num" w:pos="5400"/>
        </w:tabs>
        <w:ind w:left="5400" w:hanging="360"/>
      </w:pPr>
      <w:rPr>
        <w:rFonts w:ascii="Courier New" w:hAnsi="Courier New" w:cs="Courier New" w:hint="default"/>
      </w:rPr>
    </w:lvl>
    <w:lvl w:ilvl="8" w:tplc="F564C970" w:tentative="1">
      <w:start w:val="1"/>
      <w:numFmt w:val="bullet"/>
      <w:lvlText w:val=""/>
      <w:lvlJc w:val="left"/>
      <w:pPr>
        <w:tabs>
          <w:tab w:val="num" w:pos="6120"/>
        </w:tabs>
        <w:ind w:left="6120" w:hanging="360"/>
      </w:pPr>
      <w:rPr>
        <w:rFonts w:ascii="Wingdings" w:hAnsi="Wingdings" w:hint="default"/>
      </w:rPr>
    </w:lvl>
  </w:abstractNum>
  <w:abstractNum w:abstractNumId="34">
    <w:nsid w:val="6CD44F66"/>
    <w:multiLevelType w:val="hybridMultilevel"/>
    <w:tmpl w:val="78663DCA"/>
    <w:lvl w:ilvl="0" w:tplc="28827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E96DFD"/>
    <w:multiLevelType w:val="hybridMultilevel"/>
    <w:tmpl w:val="F6C21150"/>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837D54"/>
    <w:multiLevelType w:val="hybridMultilevel"/>
    <w:tmpl w:val="C472EB12"/>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5E51525"/>
    <w:multiLevelType w:val="hybridMultilevel"/>
    <w:tmpl w:val="58146998"/>
    <w:lvl w:ilvl="0" w:tplc="9562341C">
      <w:start w:val="1"/>
      <w:numFmt w:val="bullet"/>
      <w:lvlText w:val=""/>
      <w:lvlJc w:val="left"/>
      <w:pPr>
        <w:tabs>
          <w:tab w:val="num" w:pos="971"/>
        </w:tabs>
        <w:ind w:left="971" w:hanging="360"/>
      </w:pPr>
      <w:rPr>
        <w:rFonts w:ascii="Symbol" w:hAnsi="Symbol" w:hint="default"/>
        <w:color w:val="auto"/>
      </w:rPr>
    </w:lvl>
    <w:lvl w:ilvl="1" w:tplc="08090005">
      <w:start w:val="1"/>
      <w:numFmt w:val="bullet"/>
      <w:lvlText w:val=""/>
      <w:lvlJc w:val="left"/>
      <w:pPr>
        <w:tabs>
          <w:tab w:val="num" w:pos="1800"/>
        </w:tabs>
        <w:ind w:left="1800" w:hanging="360"/>
      </w:pPr>
      <w:rPr>
        <w:rFonts w:ascii="Wingdings" w:hAnsi="Wingdings" w:hint="default"/>
        <w:color w:val="auto"/>
      </w:rPr>
    </w:lvl>
    <w:lvl w:ilvl="2" w:tplc="C9520232">
      <w:start w:val="3"/>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nsid w:val="7A6B2558"/>
    <w:multiLevelType w:val="hybridMultilevel"/>
    <w:tmpl w:val="99A6FAFE"/>
    <w:lvl w:ilvl="0" w:tplc="956234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39">
    <w:nsid w:val="7AA42B77"/>
    <w:multiLevelType w:val="hybridMultilevel"/>
    <w:tmpl w:val="59F0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7"/>
  </w:num>
  <w:num w:numId="3">
    <w:abstractNumId w:val="11"/>
  </w:num>
  <w:num w:numId="4">
    <w:abstractNumId w:val="16"/>
  </w:num>
  <w:num w:numId="5">
    <w:abstractNumId w:val="2"/>
  </w:num>
  <w:num w:numId="6">
    <w:abstractNumId w:val="23"/>
  </w:num>
  <w:num w:numId="7">
    <w:abstractNumId w:val="14"/>
  </w:num>
  <w:num w:numId="8">
    <w:abstractNumId w:val="5"/>
  </w:num>
  <w:num w:numId="9">
    <w:abstractNumId w:val="30"/>
  </w:num>
  <w:num w:numId="10">
    <w:abstractNumId w:val="24"/>
  </w:num>
  <w:num w:numId="11">
    <w:abstractNumId w:val="32"/>
  </w:num>
  <w:num w:numId="12">
    <w:abstractNumId w:val="0"/>
  </w:num>
  <w:num w:numId="13">
    <w:abstractNumId w:val="6"/>
  </w:num>
  <w:num w:numId="14">
    <w:abstractNumId w:val="15"/>
  </w:num>
  <w:num w:numId="15">
    <w:abstractNumId w:val="28"/>
  </w:num>
  <w:num w:numId="16">
    <w:abstractNumId w:val="31"/>
  </w:num>
  <w:num w:numId="17">
    <w:abstractNumId w:val="36"/>
  </w:num>
  <w:num w:numId="18">
    <w:abstractNumId w:val="29"/>
  </w:num>
  <w:num w:numId="19">
    <w:abstractNumId w:val="34"/>
  </w:num>
  <w:num w:numId="20">
    <w:abstractNumId w:val="27"/>
  </w:num>
  <w:num w:numId="21">
    <w:abstractNumId w:val="38"/>
  </w:num>
  <w:num w:numId="22">
    <w:abstractNumId w:val="10"/>
  </w:num>
  <w:num w:numId="23">
    <w:abstractNumId w:val="1"/>
  </w:num>
  <w:num w:numId="24">
    <w:abstractNumId w:val="9"/>
  </w:num>
  <w:num w:numId="25">
    <w:abstractNumId w:val="22"/>
  </w:num>
  <w:num w:numId="26">
    <w:abstractNumId w:val="19"/>
  </w:num>
  <w:num w:numId="27">
    <w:abstractNumId w:val="37"/>
  </w:num>
  <w:num w:numId="28">
    <w:abstractNumId w:val="35"/>
  </w:num>
  <w:num w:numId="29">
    <w:abstractNumId w:val="18"/>
  </w:num>
  <w:num w:numId="30">
    <w:abstractNumId w:val="20"/>
  </w:num>
  <w:num w:numId="31">
    <w:abstractNumId w:val="21"/>
  </w:num>
  <w:num w:numId="32">
    <w:abstractNumId w:val="33"/>
  </w:num>
  <w:num w:numId="33">
    <w:abstractNumId w:val="25"/>
  </w:num>
  <w:num w:numId="34">
    <w:abstractNumId w:val="39"/>
  </w:num>
  <w:num w:numId="35">
    <w:abstractNumId w:val="8"/>
  </w:num>
  <w:num w:numId="36">
    <w:abstractNumId w:val="12"/>
  </w:num>
  <w:num w:numId="37">
    <w:abstractNumId w:val="7"/>
  </w:num>
  <w:num w:numId="38">
    <w:abstractNumId w:val="26"/>
  </w:num>
  <w:num w:numId="39">
    <w:abstractNumId w:val="3"/>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6F7A"/>
    <w:rsid w:val="00024161"/>
    <w:rsid w:val="00024E41"/>
    <w:rsid w:val="00031185"/>
    <w:rsid w:val="000402CB"/>
    <w:rsid w:val="000424C9"/>
    <w:rsid w:val="000508FC"/>
    <w:rsid w:val="00067802"/>
    <w:rsid w:val="00071DAD"/>
    <w:rsid w:val="00087C8E"/>
    <w:rsid w:val="00092CF5"/>
    <w:rsid w:val="00093077"/>
    <w:rsid w:val="000933DD"/>
    <w:rsid w:val="000A6A04"/>
    <w:rsid w:val="000A7506"/>
    <w:rsid w:val="000B7BED"/>
    <w:rsid w:val="000E6267"/>
    <w:rsid w:val="00101DC6"/>
    <w:rsid w:val="00126B0B"/>
    <w:rsid w:val="00132044"/>
    <w:rsid w:val="00134C24"/>
    <w:rsid w:val="00152E2D"/>
    <w:rsid w:val="0017083D"/>
    <w:rsid w:val="00177CF1"/>
    <w:rsid w:val="001A02EF"/>
    <w:rsid w:val="001C23AC"/>
    <w:rsid w:val="001F7BB3"/>
    <w:rsid w:val="0020121A"/>
    <w:rsid w:val="00206576"/>
    <w:rsid w:val="0022523D"/>
    <w:rsid w:val="00234583"/>
    <w:rsid w:val="002649AE"/>
    <w:rsid w:val="00277C95"/>
    <w:rsid w:val="00291F8D"/>
    <w:rsid w:val="00295787"/>
    <w:rsid w:val="002A0257"/>
    <w:rsid w:val="002B46B2"/>
    <w:rsid w:val="002B49A9"/>
    <w:rsid w:val="002C52C7"/>
    <w:rsid w:val="002F0ED4"/>
    <w:rsid w:val="003007B3"/>
    <w:rsid w:val="00316631"/>
    <w:rsid w:val="00316D9A"/>
    <w:rsid w:val="00346B64"/>
    <w:rsid w:val="00356EEA"/>
    <w:rsid w:val="00360836"/>
    <w:rsid w:val="003928DC"/>
    <w:rsid w:val="00392A02"/>
    <w:rsid w:val="003A7CA4"/>
    <w:rsid w:val="003C3ADD"/>
    <w:rsid w:val="003C3BAD"/>
    <w:rsid w:val="003C6D13"/>
    <w:rsid w:val="003D435C"/>
    <w:rsid w:val="003E7637"/>
    <w:rsid w:val="003F2E73"/>
    <w:rsid w:val="004002CB"/>
    <w:rsid w:val="00402286"/>
    <w:rsid w:val="00411F2A"/>
    <w:rsid w:val="004135D2"/>
    <w:rsid w:val="004636DA"/>
    <w:rsid w:val="00467463"/>
    <w:rsid w:val="0048142E"/>
    <w:rsid w:val="00481E85"/>
    <w:rsid w:val="00487389"/>
    <w:rsid w:val="00492D94"/>
    <w:rsid w:val="004A0D61"/>
    <w:rsid w:val="004A33B3"/>
    <w:rsid w:val="004A34CB"/>
    <w:rsid w:val="004A7345"/>
    <w:rsid w:val="004D3E62"/>
    <w:rsid w:val="0055072F"/>
    <w:rsid w:val="0055730D"/>
    <w:rsid w:val="00571052"/>
    <w:rsid w:val="00573879"/>
    <w:rsid w:val="005A36CA"/>
    <w:rsid w:val="005B1266"/>
    <w:rsid w:val="005B364A"/>
    <w:rsid w:val="005D5B51"/>
    <w:rsid w:val="005E0257"/>
    <w:rsid w:val="005E7BA7"/>
    <w:rsid w:val="00602BE2"/>
    <w:rsid w:val="00604A59"/>
    <w:rsid w:val="00612718"/>
    <w:rsid w:val="00633211"/>
    <w:rsid w:val="00640DF9"/>
    <w:rsid w:val="00641B62"/>
    <w:rsid w:val="00654929"/>
    <w:rsid w:val="00662134"/>
    <w:rsid w:val="00664334"/>
    <w:rsid w:val="00666A96"/>
    <w:rsid w:val="00680ED7"/>
    <w:rsid w:val="00697DDA"/>
    <w:rsid w:val="006E04FF"/>
    <w:rsid w:val="006E6E34"/>
    <w:rsid w:val="006F6B58"/>
    <w:rsid w:val="006F6BF2"/>
    <w:rsid w:val="00703EAD"/>
    <w:rsid w:val="00715A60"/>
    <w:rsid w:val="00744E25"/>
    <w:rsid w:val="00756CF7"/>
    <w:rsid w:val="00760325"/>
    <w:rsid w:val="00765089"/>
    <w:rsid w:val="007671BF"/>
    <w:rsid w:val="00790D77"/>
    <w:rsid w:val="007A04D8"/>
    <w:rsid w:val="007A7617"/>
    <w:rsid w:val="007B3C73"/>
    <w:rsid w:val="007C16DC"/>
    <w:rsid w:val="007C73E8"/>
    <w:rsid w:val="007E3C1C"/>
    <w:rsid w:val="007F4D5A"/>
    <w:rsid w:val="00814DD7"/>
    <w:rsid w:val="0082205E"/>
    <w:rsid w:val="0082218D"/>
    <w:rsid w:val="00822E16"/>
    <w:rsid w:val="00836EDD"/>
    <w:rsid w:val="0084354B"/>
    <w:rsid w:val="00872F7D"/>
    <w:rsid w:val="0088061A"/>
    <w:rsid w:val="008818DF"/>
    <w:rsid w:val="008B4FF5"/>
    <w:rsid w:val="008C1A41"/>
    <w:rsid w:val="008C3ABD"/>
    <w:rsid w:val="008F52D5"/>
    <w:rsid w:val="00905252"/>
    <w:rsid w:val="009063DA"/>
    <w:rsid w:val="00911315"/>
    <w:rsid w:val="00911BDA"/>
    <w:rsid w:val="0091545E"/>
    <w:rsid w:val="00916939"/>
    <w:rsid w:val="009201CB"/>
    <w:rsid w:val="00922334"/>
    <w:rsid w:val="009229EB"/>
    <w:rsid w:val="009355D7"/>
    <w:rsid w:val="00960898"/>
    <w:rsid w:val="0096116F"/>
    <w:rsid w:val="00977337"/>
    <w:rsid w:val="00985A09"/>
    <w:rsid w:val="00991294"/>
    <w:rsid w:val="0099579B"/>
    <w:rsid w:val="009A7471"/>
    <w:rsid w:val="009B695C"/>
    <w:rsid w:val="009D7DDC"/>
    <w:rsid w:val="009E7E19"/>
    <w:rsid w:val="00A03A7B"/>
    <w:rsid w:val="00A05DB5"/>
    <w:rsid w:val="00A172D9"/>
    <w:rsid w:val="00A40BC2"/>
    <w:rsid w:val="00A425D4"/>
    <w:rsid w:val="00A60782"/>
    <w:rsid w:val="00A61DEE"/>
    <w:rsid w:val="00A6645D"/>
    <w:rsid w:val="00A940C3"/>
    <w:rsid w:val="00AC53AB"/>
    <w:rsid w:val="00AF5F24"/>
    <w:rsid w:val="00B13763"/>
    <w:rsid w:val="00B44D04"/>
    <w:rsid w:val="00B46054"/>
    <w:rsid w:val="00B62E30"/>
    <w:rsid w:val="00B83C39"/>
    <w:rsid w:val="00B84A4F"/>
    <w:rsid w:val="00BB23D0"/>
    <w:rsid w:val="00BD24D7"/>
    <w:rsid w:val="00BF4FD1"/>
    <w:rsid w:val="00BF580E"/>
    <w:rsid w:val="00BF765C"/>
    <w:rsid w:val="00C02CFE"/>
    <w:rsid w:val="00C07226"/>
    <w:rsid w:val="00C11592"/>
    <w:rsid w:val="00C32004"/>
    <w:rsid w:val="00C41698"/>
    <w:rsid w:val="00C43CF7"/>
    <w:rsid w:val="00C60D77"/>
    <w:rsid w:val="00C61DF1"/>
    <w:rsid w:val="00C667FC"/>
    <w:rsid w:val="00C86CA6"/>
    <w:rsid w:val="00CA6EC8"/>
    <w:rsid w:val="00CC0179"/>
    <w:rsid w:val="00CC4938"/>
    <w:rsid w:val="00CD6D92"/>
    <w:rsid w:val="00CE0BEE"/>
    <w:rsid w:val="00CF2597"/>
    <w:rsid w:val="00D239F6"/>
    <w:rsid w:val="00D247D4"/>
    <w:rsid w:val="00D41580"/>
    <w:rsid w:val="00D41F5A"/>
    <w:rsid w:val="00D523E8"/>
    <w:rsid w:val="00D551D2"/>
    <w:rsid w:val="00D672D5"/>
    <w:rsid w:val="00DA160F"/>
    <w:rsid w:val="00DA296A"/>
    <w:rsid w:val="00DC4A35"/>
    <w:rsid w:val="00E1335A"/>
    <w:rsid w:val="00E16AC1"/>
    <w:rsid w:val="00E21A78"/>
    <w:rsid w:val="00E46A43"/>
    <w:rsid w:val="00E512FC"/>
    <w:rsid w:val="00E555E9"/>
    <w:rsid w:val="00E60BCA"/>
    <w:rsid w:val="00E75D37"/>
    <w:rsid w:val="00E76DED"/>
    <w:rsid w:val="00E77E84"/>
    <w:rsid w:val="00E87C9F"/>
    <w:rsid w:val="00E93B31"/>
    <w:rsid w:val="00EA1D31"/>
    <w:rsid w:val="00EB7B51"/>
    <w:rsid w:val="00EC589A"/>
    <w:rsid w:val="00EC76F9"/>
    <w:rsid w:val="00ED15C0"/>
    <w:rsid w:val="00ED45B5"/>
    <w:rsid w:val="00ED673A"/>
    <w:rsid w:val="00EE0A6A"/>
    <w:rsid w:val="00EF4AEF"/>
    <w:rsid w:val="00EF69B9"/>
    <w:rsid w:val="00F02B92"/>
    <w:rsid w:val="00F22959"/>
    <w:rsid w:val="00F31123"/>
    <w:rsid w:val="00F43FE8"/>
    <w:rsid w:val="00F47C17"/>
    <w:rsid w:val="00F54E94"/>
    <w:rsid w:val="00F622DA"/>
    <w:rsid w:val="00F63CD0"/>
    <w:rsid w:val="00F655E6"/>
    <w:rsid w:val="00F7643B"/>
    <w:rsid w:val="00F76969"/>
    <w:rsid w:val="00F838B0"/>
    <w:rsid w:val="00F91F06"/>
    <w:rsid w:val="00F97D1B"/>
    <w:rsid w:val="00FA192E"/>
    <w:rsid w:val="00FB1608"/>
    <w:rsid w:val="00FB2C66"/>
    <w:rsid w:val="00FB33B2"/>
    <w:rsid w:val="00FB6728"/>
    <w:rsid w:val="00FC6F6B"/>
    <w:rsid w:val="00FD1D8E"/>
    <w:rsid w:val="00FE373A"/>
    <w:rsid w:val="00FE6D3E"/>
    <w:rsid w:val="00FF66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qaa.ac.uk/WorkWithUs/Documents/jacs_codes.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7A050071-8DFF-49CF-8AE7-0943A3088DF9}"/>
</file>

<file path=customXml/itemProps2.xml><?xml version="1.0" encoding="utf-8"?>
<ds:datastoreItem xmlns:ds="http://schemas.openxmlformats.org/officeDocument/2006/customXml" ds:itemID="{6A61FA83-82F1-42E7-82D6-FD562A6DAB1A}"/>
</file>

<file path=customXml/itemProps3.xml><?xml version="1.0" encoding="utf-8"?>
<ds:datastoreItem xmlns:ds="http://schemas.openxmlformats.org/officeDocument/2006/customXml" ds:itemID="{7E7F3799-4E17-48D5-AC96-787100CBC917}"/>
</file>

<file path=customXml/itemProps4.xml><?xml version="1.0" encoding="utf-8"?>
<ds:datastoreItem xmlns:ds="http://schemas.openxmlformats.org/officeDocument/2006/customXml" ds:itemID="{48D2FC8B-5FF0-49FF-98F9-B1A1C2C9AF92}"/>
</file>

<file path=docProps/app.xml><?xml version="1.0" encoding="utf-8"?>
<Properties xmlns="http://schemas.openxmlformats.org/officeDocument/2006/extended-properties" xmlns:vt="http://schemas.openxmlformats.org/officeDocument/2006/docPropsVTypes">
  <Template>Normal</Template>
  <TotalTime>0</TotalTime>
  <Pages>13</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23451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Carter, Clare</cp:lastModifiedBy>
  <cp:revision>2</cp:revision>
  <cp:lastPrinted>2012-03-08T14:59:00Z</cp:lastPrinted>
  <dcterms:created xsi:type="dcterms:W3CDTF">2016-11-01T16:15:00Z</dcterms:created>
  <dcterms:modified xsi:type="dcterms:W3CDTF">2016-11-01T16:15:00Z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ies>
</file>