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FdSc</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Nursing Associate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30/03/2019</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 xml:space="preserve">Teaching Out </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10</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Nursing, Allied and Public Health</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Public Health and Children’s, Learning Disabilities and Mental Health Nursing (CC0572)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School of Nursing, 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FdSc</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Nursing Associate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Certificate of Higher Education in Healthcare</w:t>
            </w: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UFNUA1NUA78</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Not applicable</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School of Nursing, 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pStyle w:val="first"/>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xml:space="preserve">At the point of entry onto the course, applicants for the apprenticeship route must be employed within a health or care setting where they can be appropriately supervised by a registered nurse or other appropriate registered health or care professional. Typically, applicants will be employed at NHS Agenda for Change Band 2 or 3 as healthcare support workers (or equivalent). </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The minimum entry qualifications for the programme are:</w:t>
            </w:r>
          </w:p>
          <w:p w:rsidRPr="2030048C" w:rsidP="2030048C">
            <w:pPr>
              <w:ind w:left="132"/>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xml:space="preserve">GCSE: </w:t>
            </w:r>
            <w:r w:rsidRPr="2030048C">
              <w:rPr>
                <w:rStyle w:val="normaltextrun"/>
                <w:rFonts w:ascii="Arial" w:eastAsia="Arial" w:hAnsi="Arial" w:cs="Arial"/>
                <w:b w:val="0"/>
                <w:bCs w:val="0"/>
                <w:color w:val="000000"/>
                <w:sz w:val="24"/>
                <w:szCs w:val="24"/>
                <w:shd w:val="clear" w:color="auto" w:fill="FFFFFF"/>
              </w:rPr>
              <w:t xml:space="preserve">English (normally English language) </w:t>
            </w:r>
            <w:r w:rsidRPr="2030048C">
              <w:rPr>
                <w:rStyle w:val="normaltextrun"/>
                <w:rFonts w:ascii="Arial" w:eastAsia="Arial" w:hAnsi="Arial" w:cs="Arial"/>
                <w:b w:val="0"/>
                <w:bCs w:val="0"/>
                <w:color w:val="000000"/>
                <w:sz w:val="24"/>
                <w:szCs w:val="24"/>
                <w:shd w:val="clear" w:color="auto" w:fill="FFFFFF"/>
              </w:rPr>
              <w:t xml:space="preserve">and </w:t>
            </w:r>
            <w:r w:rsidRPr="2030048C">
              <w:rPr>
                <w:rStyle w:val="normaltextrun"/>
                <w:rFonts w:ascii="Arial" w:eastAsia="Arial" w:hAnsi="Arial" w:cs="Arial"/>
                <w:b w:val="0"/>
                <w:bCs w:val="0"/>
                <w:color w:val="000000"/>
                <w:sz w:val="24"/>
                <w:szCs w:val="24"/>
                <w:shd w:val="clear" w:color="auto" w:fill="FFFFFF"/>
              </w:rPr>
              <w:t xml:space="preserve">mathematics grades 4-9 </w:t>
            </w:r>
            <w:r w:rsidRPr="2030048C">
              <w:rPr>
                <w:rStyle w:val="normaltextrun"/>
                <w:rFonts w:ascii="Arial" w:eastAsia="Arial" w:hAnsi="Arial" w:cs="Arial"/>
                <w:b w:val="0"/>
                <w:bCs w:val="0"/>
                <w:color w:val="000000"/>
                <w:sz w:val="24"/>
                <w:szCs w:val="24"/>
                <w:shd w:val="clear" w:color="auto" w:fill="FFFFFF"/>
              </w:rPr>
              <w:t xml:space="preserve">(or grade C or above for GCSEs taken before 2017); or equivalent qualification (e.g. </w:t>
            </w:r>
            <w:r w:rsidRPr="2030048C">
              <w:rPr>
                <w:rStyle w:val="normaltextrun"/>
                <w:rFonts w:ascii="Arial" w:eastAsia="Arial" w:hAnsi="Arial" w:cs="Arial"/>
                <w:b w:val="0"/>
                <w:bCs w:val="0"/>
                <w:color w:val="000000"/>
                <w:sz w:val="24"/>
                <w:szCs w:val="24"/>
                <w:shd w:val="clear" w:color="auto" w:fill="FFFFFF"/>
              </w:rPr>
              <w:t>Functional Skills level 2 in numeracy and literacy</w:t>
            </w:r>
            <w:r w:rsidRPr="2030048C">
              <w:rPr>
                <w:rStyle w:val="normaltextrun"/>
                <w:rFonts w:ascii="Arial" w:eastAsia="Arial" w:hAnsi="Arial" w:cs="Arial"/>
                <w:b w:val="0"/>
                <w:bCs w:val="0"/>
                <w:color w:val="000000"/>
                <w:sz w:val="24"/>
                <w:szCs w:val="24"/>
                <w:shd w:val="clear" w:color="auto" w:fill="FFFFFF"/>
              </w:rPr>
              <w:t xml:space="preserve">). </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Admission to the programme is subject to the following:</w:t>
            </w:r>
          </w:p>
          <w:p w:rsidRPr="2030048C" w:rsidP="2030048C">
            <w:pPr>
              <w:numPr>
                <w:ilvl w:val="0"/>
                <w:numId w:val="12"/>
              </w:numPr>
              <w:ind w:left="720" w:right="0" w:hanging="36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satisfactory occupational health clearance;</w:t>
            </w:r>
          </w:p>
          <w:p w:rsidRPr="2030048C" w:rsidP="2030048C">
            <w:pPr>
              <w:numPr>
                <w:ilvl w:val="0"/>
                <w:numId w:val="12"/>
              </w:numPr>
              <w:ind w:left="720" w:right="0" w:hanging="36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Disclosure and Barring Services (DBS) clearance (Enhanced);</w:t>
            </w:r>
          </w:p>
          <w:p w:rsidRPr="2030048C" w:rsidP="2030048C">
            <w:pPr>
              <w:numPr>
                <w:ilvl w:val="0"/>
                <w:numId w:val="12"/>
              </w:numPr>
              <w:ind w:left="720" w:right="0" w:hanging="36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satisfactory interview;</w:t>
            </w:r>
          </w:p>
          <w:p w:rsidRPr="2030048C" w:rsidP="2030048C">
            <w:pPr>
              <w:numPr>
                <w:ilvl w:val="0"/>
                <w:numId w:val="12"/>
              </w:numPr>
              <w:ind w:left="720" w:right="0" w:hanging="36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 appropriate employment for a minimum of 37.5h per week;</w:t>
            </w:r>
          </w:p>
          <w:p w:rsidRPr="2030048C" w:rsidP="2030048C">
            <w:pPr>
              <w:numPr>
                <w:ilvl w:val="0"/>
                <w:numId w:val="12"/>
              </w:numPr>
              <w:ind w:left="720" w:right="0" w:hanging="360"/>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where</w:t>
            </w:r>
            <w:r w:rsidRPr="2030048C">
              <w:rPr>
                <w:rStyle w:val="normaltextrun"/>
                <w:rFonts w:ascii="Arial" w:eastAsia="Arial" w:hAnsi="Arial" w:cs="Arial"/>
                <w:b w:val="0"/>
                <w:bCs w:val="0"/>
                <w:color w:val="000000"/>
                <w:sz w:val="24"/>
                <w:szCs w:val="24"/>
                <w:shd w:val="clear" w:color="auto" w:fill="FFFFFF"/>
              </w:rPr>
              <w:t xml:space="preserve"> applicable, a ‘Right to Work’ covering the full length of the course and end point assessment (30 months).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xml:space="preserve">All applicants who meet the minimum requirements are required to attend </w:t>
            </w:r>
            <w:r w:rsidRPr="2030048C">
              <w:rPr>
                <w:rStyle w:val="normaltextrun"/>
                <w:rFonts w:ascii="Arial" w:eastAsia="Arial" w:hAnsi="Arial" w:cs="Arial"/>
                <w:b w:val="0"/>
                <w:bCs w:val="0"/>
                <w:color w:val="000000"/>
                <w:sz w:val="24"/>
                <w:szCs w:val="24"/>
                <w:shd w:val="clear" w:color="auto" w:fill="FFFFFF"/>
              </w:rPr>
              <w:t xml:space="preserve">a selection day which includes a </w:t>
            </w:r>
            <w:r w:rsidRPr="2030048C">
              <w:rPr>
                <w:rStyle w:val="normaltextrun"/>
                <w:rFonts w:ascii="Arial" w:eastAsia="Arial" w:hAnsi="Arial" w:cs="Arial"/>
                <w:b w:val="0"/>
                <w:bCs w:val="0"/>
                <w:color w:val="000000"/>
                <w:sz w:val="24"/>
                <w:szCs w:val="24"/>
                <w:shd w:val="clear" w:color="auto" w:fill="FFFFFF"/>
              </w:rPr>
              <w:t xml:space="preserve">values-based interview (multiple mini interviews) </w:t>
            </w:r>
            <w:r w:rsidRPr="2030048C">
              <w:rPr>
                <w:rStyle w:val="normaltextrun"/>
                <w:rFonts w:ascii="Arial" w:eastAsia="Arial" w:hAnsi="Arial" w:cs="Arial"/>
                <w:b w:val="0"/>
                <w:bCs w:val="0"/>
                <w:color w:val="000000"/>
                <w:sz w:val="24"/>
                <w:szCs w:val="24"/>
                <w:shd w:val="clear" w:color="auto" w:fill="FFFFFF"/>
              </w:rPr>
              <w:t>and an informal assessment of the applicant’s current digital literacy skills which will provide a baseline from which to develop capability in digital and technological literacy during the programme.</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pStyle w:val="p"/>
              <w:spacing w:before="0" w:after="0"/>
              <w:ind w:left="0" w:right="0"/>
              <w:rPr>
                <w:rStyle w:val="normaltextrun"/>
                <w:rFonts w:ascii="Times New Roman" w:eastAsia="Times New Roman" w:hAnsi="Times New Roman" w:cs="Times New Roman"/>
                <w:b w:val="0"/>
                <w:bCs w:val="0"/>
                <w:color w:val="000000"/>
                <w:sz w:val="22"/>
                <w:szCs w:val="22"/>
                <w:shd w:val="clear" w:color="auto" w:fill="FFFFFF"/>
              </w:rPr>
            </w:pPr>
            <w:r w:rsidRPr="2030048C">
              <w:rPr>
                <w:rStyle w:val="normaltextrun"/>
                <w:rFonts w:ascii="Arial" w:eastAsia="Arial" w:hAnsi="Arial" w:cs="Arial"/>
                <w:b w:val="0"/>
                <w:bCs w:val="0"/>
                <w:color w:val="000000"/>
                <w:sz w:val="22"/>
                <w:szCs w:val="22"/>
                <w:shd w:val="clear" w:color="auto" w:fill="FFFFFF"/>
              </w:rPr>
              <w:t>Nursing and Midwifery Council</w:t>
            </w:r>
            <w:r w:rsidRPr="2030048C">
              <w:rPr>
                <w:rStyle w:val="normaltextrun"/>
                <w:rFonts w:ascii="Arial" w:eastAsia="Arial" w:hAnsi="Arial" w:cs="Arial"/>
                <w:b w:val="0"/>
                <w:bCs w:val="0"/>
                <w:color w:val="000000"/>
                <w:sz w:val="22"/>
                <w:szCs w:val="22"/>
                <w:shd w:val="clear" w:color="auto" w:fill="FFFFFF"/>
              </w:rPr>
              <w:t xml:space="preserve"> </w:t>
            </w:r>
            <w:r w:rsidRPr="2030048C">
              <w:rPr>
                <w:rStyle w:val="normaltextrun"/>
                <w:rFonts w:ascii="Arial" w:eastAsia="Arial" w:hAnsi="Arial" w:cs="Arial"/>
                <w:b w:val="0"/>
                <w:bCs w:val="0"/>
                <w:color w:val="000000"/>
                <w:sz w:val="22"/>
                <w:szCs w:val="22"/>
                <w:shd w:val="clear" w:color="auto" w:fill="FFFFFF"/>
              </w:rPr>
              <w:t>(NMC)</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jc w:val="both"/>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programme has approval for the following variants:</w:t>
            </w:r>
          </w:p>
          <w:p w:rsidR="5D711985" w:rsidRPr="158602C4" w:rsidP="158602C4">
            <w:pPr>
              <w:numPr>
                <w:ilvl w:val="0"/>
                <w:numId w:val="13"/>
              </w:numPr>
              <w:shd w:val="clear" w:color="auto" w:fill="FFFFFE"/>
              <w:spacing w:before="0" w:beforeAutospacing="0" w:after="0" w:afterAutospacing="0" w:line="285" w:lineRule="auto"/>
              <w:ind w:left="720" w:hanging="360"/>
              <w:jc w:val="both"/>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Year 1: three 30 credit modules and two 15 credit modules;</w:t>
            </w:r>
          </w:p>
          <w:p w:rsidR="5D711985" w:rsidRPr="158602C4" w:rsidP="158602C4">
            <w:pPr>
              <w:numPr>
                <w:ilvl w:val="0"/>
                <w:numId w:val="13"/>
              </w:numPr>
              <w:shd w:val="clear" w:color="auto" w:fill="FFFFFE"/>
              <w:spacing w:before="0" w:beforeAutospacing="0" w:after="0" w:afterAutospacing="0" w:line="285" w:lineRule="auto"/>
              <w:ind w:left="720" w:hanging="360"/>
              <w:jc w:val="both"/>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Year 2: three 30 credit modules and two 15 credit modules;</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there is no compensation in assessments across theory and practice learning;</w:t>
            </w:r>
          </w:p>
          <w:p w:rsidR="5D711985" w:rsidRPr="158602C4" w:rsidP="158602C4">
            <w:pPr>
              <w:numPr>
                <w:ilvl w:val="0"/>
                <w:numId w:val="13"/>
              </w:numPr>
              <w:shd w:val="clear" w:color="auto" w:fill="FFFFFE"/>
              <w:spacing w:before="0" w:beforeAutospacing="0" w:after="0" w:afterAutospacing="0" w:line="285" w:lineRule="auto"/>
              <w:ind w:left="720" w:hanging="360"/>
              <w:jc w:val="both"/>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only two attempts at the practice assessment document are permitted;</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degree classification will be based on 90 credits at level 5.</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sz w:val="22"/>
                <w:szCs w:val="22"/>
              </w:rPr>
              <w:t>To be awarded a Foundation degree with distinction, a student must have achieved</w:t>
            </w:r>
            <w:r w:rsidRPr="158602C4">
              <w:rPr>
                <w:rStyle w:val="normaltextrun"/>
                <w:rFonts w:ascii="Arial" w:eastAsia="Arial" w:hAnsi="Arial" w:cs="Arial"/>
                <w:b w:val="0"/>
                <w:bCs w:val="0"/>
                <w:color w:val="000000"/>
                <w:sz w:val="22"/>
                <w:szCs w:val="22"/>
              </w:rPr>
              <w:br/>
            </w:r>
            <w:r w:rsidRPr="158602C4">
              <w:rPr>
                <w:rStyle w:val="normaltextrun"/>
                <w:rFonts w:ascii="Arial" w:eastAsia="Arial" w:hAnsi="Arial" w:cs="Arial"/>
                <w:b w:val="0"/>
                <w:bCs w:val="0"/>
                <w:color w:val="000000"/>
                <w:sz w:val="22"/>
                <w:szCs w:val="22"/>
              </w:rPr>
              <w:t>• at least 240 credits at level 4 or above, of which at least 120 credits must be at level 5 or above</w:t>
            </w:r>
            <w:r w:rsidRPr="158602C4">
              <w:rPr>
                <w:rStyle w:val="normaltextrun"/>
                <w:rFonts w:ascii="Arial" w:eastAsia="Arial" w:hAnsi="Arial" w:cs="Arial"/>
                <w:b w:val="0"/>
                <w:bCs w:val="0"/>
                <w:color w:val="000000"/>
                <w:sz w:val="22"/>
                <w:szCs w:val="22"/>
              </w:rPr>
              <w:br/>
            </w:r>
            <w:r w:rsidRPr="158602C4">
              <w:rPr>
                <w:rStyle w:val="normaltextrun"/>
                <w:rFonts w:ascii="Arial" w:eastAsia="Arial" w:hAnsi="Arial" w:cs="Arial"/>
                <w:b w:val="0"/>
                <w:bCs w:val="0"/>
                <w:color w:val="000000"/>
                <w:sz w:val="22"/>
                <w:szCs w:val="22"/>
              </w:rPr>
              <w:t xml:space="preserve">• and an average of at least 70% in 90 graded credits at level 5 </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sz w:val="22"/>
                <w:szCs w:val="22"/>
              </w:rPr>
              <w:t>To be awarded a Foundation degree with merit, a student must have achieved</w:t>
            </w:r>
            <w:r w:rsidRPr="158602C4">
              <w:rPr>
                <w:rStyle w:val="normaltextrun"/>
                <w:rFonts w:ascii="Arial" w:eastAsia="Arial" w:hAnsi="Arial" w:cs="Arial"/>
                <w:b w:val="0"/>
                <w:bCs w:val="0"/>
                <w:color w:val="000000"/>
                <w:sz w:val="22"/>
                <w:szCs w:val="22"/>
              </w:rPr>
              <w:br/>
            </w:r>
            <w:r w:rsidRPr="158602C4">
              <w:rPr>
                <w:rStyle w:val="normaltextrun"/>
                <w:rFonts w:ascii="Arial" w:eastAsia="Arial" w:hAnsi="Arial" w:cs="Arial"/>
                <w:b w:val="0"/>
                <w:bCs w:val="0"/>
                <w:color w:val="000000"/>
                <w:sz w:val="22"/>
                <w:szCs w:val="22"/>
              </w:rPr>
              <w:t>• at least 240 credits at level 4 or above, of which at least 120 credits must be at level 5 or above</w:t>
            </w:r>
            <w:r w:rsidRPr="158602C4">
              <w:rPr>
                <w:rStyle w:val="normaltextrun"/>
                <w:rFonts w:ascii="Arial" w:eastAsia="Arial" w:hAnsi="Arial" w:cs="Arial"/>
                <w:b w:val="0"/>
                <w:bCs w:val="0"/>
                <w:color w:val="000000"/>
                <w:sz w:val="22"/>
                <w:szCs w:val="22"/>
              </w:rPr>
              <w:br/>
            </w:r>
            <w:r w:rsidRPr="158602C4">
              <w:rPr>
                <w:rStyle w:val="normaltextrun"/>
                <w:rFonts w:ascii="Arial" w:eastAsia="Arial" w:hAnsi="Arial" w:cs="Arial"/>
                <w:b w:val="0"/>
                <w:bCs w:val="0"/>
                <w:color w:val="000000"/>
                <w:sz w:val="22"/>
                <w:szCs w:val="22"/>
              </w:rPr>
              <w:t>• and an average of at least 60% in 90 graded credits at level 5</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sz w:val="22"/>
                <w:szCs w:val="22"/>
              </w:rPr>
              <w:t>Students are permitted to trail up to 60 credits of L4 credit into the next academic year (note: the NMC has temporarily suspended the 12 week rule due to the Covid pandemic so the trailed module will not have to be completed within the first 12 weeks of L5)</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0"/>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i/>
          <w:iCs/>
          <w:color w:val="000000" w:themeColor="text1"/>
          <w:sz w:val="24"/>
          <w:szCs w:val="24"/>
          <w:shd w:val="clear" w:color="auto" w:fill="FFFFFF"/>
        </w:rPr>
        <w:t> </w:t>
      </w:r>
      <w:r w:rsidRPr="2030048C">
        <w:rPr>
          <w:rStyle w:val="normaltextrun"/>
          <w:rFonts w:ascii="Arial" w:hAnsi="Arial" w:cs="Arial"/>
          <w:color w:val="000000" w:themeColor="text1"/>
          <w:sz w:val="24"/>
          <w:szCs w:val="24"/>
          <w:shd w:val="clear" w:color="auto" w:fill="FFFFFF"/>
        </w:rPr>
        <w:t>The programme will prepare students to meet the NMC Standards of Proficiency for Nursing Associates (2018b), so that they may apply for entry to the NMC Register as Registered Nursing Associates upon course completion.</w:t>
      </w:r>
    </w:p>
    <w:p w:rsidRPr="2030048C" w:rsidP="2030048C">
      <w:pPr>
        <w:pStyle w:val="ListParagraph"/>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b/>
          <w:bCs/>
          <w:color w:val="000000" w:themeColor="text1"/>
          <w:sz w:val="24"/>
          <w:szCs w:val="24"/>
          <w:shd w:val="clear" w:color="auto" w:fill="FFFFFF"/>
        </w:rPr>
        <w:t>The specific programme aims are to:</w:t>
      </w:r>
    </w:p>
    <w:p w:rsidRPr="2030048C" w:rsidP="2030048C">
      <w:pPr>
        <w:pStyle w:val="ListParagraph"/>
        <w:numPr>
          <w:ilvl w:val="0"/>
          <w:numId w:val="14"/>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contemporary, evidence-based nursing education which meets the needs of students, service users and local health and social care employers.</w:t>
      </w:r>
    </w:p>
    <w:p w:rsidRPr="2030048C" w:rsidP="2030048C">
      <w:pPr>
        <w:pStyle w:val="ListParagraph"/>
        <w:numPr>
          <w:ilvl w:val="0"/>
          <w:numId w:val="14"/>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Develop accountable, safe, compassionate and resilient practitioners who demonstrate professional attitudes and behaviours consistent with the NMC Code. </w:t>
      </w:r>
    </w:p>
    <w:p w:rsidRPr="2030048C" w:rsidP="2030048C">
      <w:pPr>
        <w:pStyle w:val="ListParagraph"/>
        <w:numPr>
          <w:ilvl w:val="0"/>
          <w:numId w:val="14"/>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Develop students’ knowledge and understanding of core, generic, evidence-based nursing theory and practice, enabling application of learning through a range of supervised practice-based placements. </w:t>
      </w:r>
    </w:p>
    <w:p w:rsidRPr="2030048C" w:rsidP="2030048C">
      <w:pPr>
        <w:pStyle w:val="ListParagraph"/>
        <w:numPr>
          <w:ilvl w:val="0"/>
          <w:numId w:val="14"/>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Foster in students the value and benefits of collaborative working with service-users, carers and health and social care professionals, in order to achieve optimum individualised person-centered care.</w:t>
      </w:r>
    </w:p>
    <w:p w:rsidRPr="2030048C" w:rsidP="2030048C">
      <w:pPr>
        <w:pStyle w:val="ListParagraph"/>
        <w:numPr>
          <w:ilvl w:val="0"/>
          <w:numId w:val="14"/>
        </w:numPr>
        <w:ind w:left="720" w:hanging="36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Nurture students’ personal and professional development in readiness for employment as nursing associates, equipping them with problem solving, analytical, practical and key graduate (transferable) skills, including the ability to be independent, reflective, lifelong learners.</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knowledge of management, leadership and organisation of health care systems within the NHS, independent and voluntary sectors to own area of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problem-solving and enquiry skills in order to appraise and interpret healthcare information, and its quality and relevance to care in own area of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C6</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Recognise and respond appropriately to situations in day-to-day clinical practice, demonstrating technical competence and expertise.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detailed knowledge of health promotion and disease prevention principles in maintaining and improving the physical and mental health and wellbeing of service users in different settings and across the lifespan.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skills and attributes of a reflective practitioner and autonomous learner, with commitment to personal and professional development, including resilience.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collaboratively and in partnership with service users, carers and other members of the multi-disciplinary team to provide integrated person-centred care, whilst recognising own limitations and professional boundaries.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Evaluate practice and explore strategies for monitoring own performance and that of others, in order to promote high quality, safe care.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Access, input and analyse information using a range of verbal, non-verbal, written and digital skills.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Apply contemporary research-based evidence to the planning, delivery and evaluation of flexible, safe, person-centred care in accordance with national and local policies and guidelines, including self-care where achievable.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knowledge and understanding of healthcare related ethical, legal and professional principles in order to promote equality, diversity, dignity and compassionate care within own area of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an understanding of the concepts of leadership and teamwork to own role.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a variety of approaches to assess, identify and manage risk safely and effectively within the workplace and in line with published frameworks and risk tools, escalating concerns as appropriate.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detailed knowledge and understanding of anatomy, physiology and pathophysiology to the interpretation of clinical assessment and care.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Safely and accurately perform a range of skills relating to the assessment and care of service users from across the lifespan and in a range of settings.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professional behaviour and effective non-judgemental interpersonal communication skills.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1"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C7</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the ability to communicate effectively with service users, carers and healthcare professionals.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i/>
          <w:iCs/>
          <w:color w:val="000000" w:themeColor="text1" w:themeShade="FF" w:themeTint="FF"/>
          <w:sz w:val="24"/>
          <w:szCs w:val="24"/>
        </w:rPr>
        <w:t> </w:t>
      </w:r>
      <w:r w:rsidRPr="2030048C">
        <w:rPr>
          <w:rFonts w:ascii="Arial" w:eastAsia="Arial" w:hAnsi="Arial" w:cs="Arial"/>
          <w:color w:val="000000" w:themeColor="text1" w:themeShade="FF" w:themeTint="FF"/>
          <w:sz w:val="24"/>
          <w:szCs w:val="24"/>
        </w:rPr>
        <w:drawing>
          <wp:inline>
            <wp:extent cx="5731510" cy="322754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1"/>
                    <a:stretch>
                      <a:fillRect/>
                    </a:stretch>
                  </pic:blipFill>
                  <pic:spPr>
                    <a:xfrm>
                      <a:off x="0" y="0"/>
                      <a:ext cx="5731510" cy="3227545"/>
                    </a:xfrm>
                    <a:prstGeom prst="rect">
                      <a:avLst/>
                    </a:prstGeom>
                  </pic:spPr>
                </pic:pic>
              </a:graphicData>
            </a:graphic>
          </wp:inline>
        </w:drawing>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Each level of study consists of five modules: three 30 credit modules and two at 15 credits.</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Typically, a student must complete 120 credits at each level.</w:t>
      </w:r>
      <w:r w:rsidRPr="2030048C">
        <w:rPr>
          <w:rFonts w:ascii="Arial" w:eastAsia="Arial" w:hAnsi="Arial" w:cs="Arial"/>
          <w:color w:val="000000" w:themeColor="text1" w:themeShade="FF" w:themeTint="FF"/>
          <w:sz w:val="24"/>
          <w:szCs w:val="24"/>
        </w:rPr>
        <w:t xml:space="preserve">  </w:t>
      </w:r>
      <w:r w:rsidRPr="2030048C">
        <w:rPr>
          <w:rFonts w:ascii="Arial" w:eastAsia="Arial" w:hAnsi="Arial" w:cs="Arial"/>
          <w:color w:val="000000" w:themeColor="text1" w:themeShade="FF" w:themeTint="FF"/>
          <w:sz w:val="24"/>
          <w:szCs w:val="24"/>
        </w:rPr>
        <w:t>All students will be provided with the University regulations and specific additions required for accreditation by the professional regulator. Full details of each module will be provided in module descriptors and student module guides.</w:t>
      </w:r>
      <w:r w:rsidRPr="2030048C">
        <w:rPr>
          <w:rFonts w:ascii="Arial" w:eastAsia="Arial" w:hAnsi="Arial" w:cs="Arial"/>
          <w:color w:val="000000" w:themeColor="text1" w:themeShade="FF" w:themeTint="FF"/>
          <w:sz w:val="24"/>
          <w:szCs w:val="24"/>
        </w:rPr>
        <w:t xml:space="preserve">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FdSc</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Nursing Associate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FdSc</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Nursing Associate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Applied Anatomy and Physiology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4</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Personal and Professional Development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Professionalism in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Promoting Health and Wellbeing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7"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Skills for Healthcare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The outstanding 30 credits from level 4 can be trailed into level 5.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who exit the programme at the end of part 1 and who have successfully completed 120 credits at level 4 are eligible for the award of Certificate of Higher Education in Healthcare.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FdSc</w:t>
            </w:r>
            <w:r w:rsidRPr="2030048C">
              <w:rPr>
                <w:rFonts w:ascii="Arial" w:eastAsia="Arial" w:hAnsi="Arial" w:cs="Arial"/>
                <w:b/>
                <w:bCs/>
                <w:lang w:val="en-GB"/>
              </w:rPr>
              <w:t xml:space="preserve"> </w:t>
            </w:r>
            <w:r w:rsidRPr="2030048C">
              <w:rPr>
                <w:rFonts w:ascii="Arial" w:eastAsia="Arial" w:hAnsi="Arial" w:cs="Arial"/>
                <w:b/>
                <w:bCs/>
                <w:lang w:val="en-GB"/>
              </w:rPr>
              <w:t>Nursing Associate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Leadership for Nursing Associates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NU5005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Long Term Conditions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NU5004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Personal and Professional Development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NU5001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Skills for Healthcare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NU5002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The Acutely Unwell Person</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NU5003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who have </w:t>
      </w:r>
    </w:p>
    <w:p w:rsidR="3891A81D" w:rsidRPr="2030048C" w:rsidP="2030048C">
      <w:pPr>
        <w:numPr>
          <w:ilvl w:val="0"/>
          <w:numId w:val="16"/>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completed and passed all 120 credits at level 4;  </w:t>
      </w:r>
    </w:p>
    <w:p w:rsidR="3891A81D" w:rsidRPr="2030048C" w:rsidP="2030048C">
      <w:pPr>
        <w:numPr>
          <w:ilvl w:val="0"/>
          <w:numId w:val="16"/>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completed and passed all 120 credits at level 5;  </w:t>
      </w:r>
    </w:p>
    <w:p w:rsidR="3891A81D" w:rsidRPr="2030048C" w:rsidP="2030048C">
      <w:pPr>
        <w:numPr>
          <w:ilvl w:val="0"/>
          <w:numId w:val="17"/>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met NMC sign-off requirements for end of parts 1 and 2 of the programme;  </w:t>
      </w:r>
    </w:p>
    <w:p w:rsidR="3891A81D" w:rsidRPr="2030048C" w:rsidP="2030048C">
      <w:pPr>
        <w:numPr>
          <w:ilvl w:val="0"/>
          <w:numId w:val="17"/>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completed a minimum of 1,150 hours of practice and 1,150 hours of theory;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are eligible for the award of Foundation Degree (FdSc) Nursing Associate. The degree classification will be based on 90 credits at level 5 (excludes pass/fail module NU5002). Graduates will be able to apply for entry to the Nursing and Midwifery Council Professional Register. Application for registration must be made within five years of completing the award.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The programme is designed to meet the Nursing and Midwifery Council’s Standards for Pre-registration Nursing Associate programmes (NMC, 2018a) and Standards for Student Supervision and Assessment (NMC, 2018c). It will ensure students are supported to achieve the competencies, communication, relationship management skills and nursing procedures specified in the Standards of Proficiency for Nursing Associates (NMC, 2018b) via a minimum of 1,150 hours of theoretical content and 1,150 hours of protected practice learning. The programme has two progression points which must be met at the end of Semester 2 in Years 1 and 2 respectively.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ind w:left="360"/>
        <w:rPr>
          <w:rFonts w:ascii="Arial" w:eastAsia="Arial" w:hAnsi="Arial" w:cs="Arial"/>
          <w:sz w:val="24"/>
          <w:szCs w:val="24"/>
        </w:rPr>
      </w:pPr>
      <w:r w:rsidRPr="2030048C">
        <w:rPr>
          <w:rFonts w:ascii="Arial" w:eastAsia="Arial" w:hAnsi="Arial" w:cs="Arial"/>
          <w:b/>
          <w:bCs/>
          <w:sz w:val="24"/>
          <w:szCs w:val="24"/>
        </w:rPr>
        <w:t>Programme design</w:t>
      </w:r>
    </w:p>
    <w:p w:rsidRPr="2030048C" w:rsidP="2030048C">
      <w:pPr>
        <w:rPr>
          <w:rFonts w:ascii="Arial" w:eastAsia="Arial" w:hAnsi="Arial" w:cs="Arial"/>
          <w:sz w:val="24"/>
          <w:szCs w:val="24"/>
        </w:rPr>
      </w:pPr>
      <w:r w:rsidRPr="2030048C">
        <w:rPr>
          <w:rFonts w:ascii="Arial" w:eastAsia="Arial" w:hAnsi="Arial" w:cs="Arial"/>
          <w:sz w:val="24"/>
          <w:szCs w:val="24"/>
        </w:rPr>
        <w:t xml:space="preserve">The programme is designed as a continuous process where theory and practice are interlinked and inform each other. Students engage with a number of key relationships – service users and families; teachers, practice supervisors and assessors; the learning environment (university and practice); knowledge and evidence. The six NMC platforms (being an accountable professional; promoting health and preventing ill-health; providing and monitoring care; working in teams; improving safety and quality of care; contributing to integrated care) provide the main curriculum themes. The four areas of the NMC Code (prioritise people; practise effectively; preserve safety; promote professionalism and trust) further underpin student development in conjunction with the Chief Nursing Officer’s ‘6Cs’ (care; compassion; competence; communication; courage; commitment). Together these provide a framework within which students will learn and practice. A number of curriculum threads are also developed throughout the programme using a spiralling approach. These core concepts have been identified from student, service user and employer feedback, and include critical thinking, evidence-based practice, pharmacology, fields of practice (e.g. mental health), interdisciplinary working, safeguarding, numeracy and academic skills. </w:t>
      </w:r>
    </w:p>
    <w:p w:rsidRPr="2030048C" w:rsidP="2030048C">
      <w:pPr>
        <w:rPr>
          <w:rFonts w:ascii="Arial" w:eastAsia="Arial" w:hAnsi="Arial" w:cs="Arial"/>
          <w:sz w:val="24"/>
          <w:szCs w:val="24"/>
        </w:rPr>
      </w:pPr>
      <w:r w:rsidRPr="2030048C">
        <w:rPr>
          <w:rFonts w:ascii="Arial" w:eastAsia="Arial" w:hAnsi="Arial" w:cs="Arial"/>
          <w:sz w:val="24"/>
          <w:szCs w:val="24"/>
        </w:rPr>
        <w:t xml:space="preserve">As a non-field specific programme, all modules take a generic approach and aim to develop a broad understanding of care needs relevant to all fields of nursing, ensuring students can identify holistic needs and deliver care to a diverse range of individuals. There is an emphasis on the relationship between physical and mental health, care throughout the lifespan and the wider influences on health and wellbeing. Modules are organised in a staged and spiralling approach throughout the academic year to maximise opportunities for the integration of theory and practice. Year 1 develops a broad understanding of the nursing associate knowledge base and enables the student to provide reasoned explanations of relevant issues. Year 2 promotes a more detailed understanding of the subject matter covered in Year 1, related theories and concepts, enabling students to provide substantiated arguments applied to relevant issues. The integration of theory and practice is achieved through learning, teaching and assessment strategies which require students to reflect on their experiences in practice. Nursing knowledge and evidence are applied to these experiences, with an increasing depth of discussion and analysis as </w:t>
      </w:r>
      <w:r w:rsidRPr="2030048C">
        <w:rPr>
          <w:rFonts w:ascii="Arial" w:eastAsia="Arial" w:hAnsi="Arial" w:cs="Arial"/>
          <w:sz w:val="24"/>
          <w:szCs w:val="24"/>
        </w:rPr>
        <w:t>students</w:t>
      </w:r>
      <w:r w:rsidRPr="2030048C">
        <w:rPr>
          <w:rFonts w:ascii="Arial" w:eastAsia="Arial" w:hAnsi="Arial" w:cs="Arial"/>
          <w:sz w:val="24"/>
          <w:szCs w:val="24"/>
        </w:rPr>
        <w:t xml:space="preserve"> progress through the academic levels. </w:t>
      </w:r>
    </w:p>
    <w:p w:rsidRPr="2030048C" w:rsidP="2030048C">
      <w:pPr>
        <w:rPr>
          <w:rFonts w:ascii="Arial" w:eastAsia="Arial" w:hAnsi="Arial" w:cs="Arial"/>
          <w:sz w:val="24"/>
          <w:szCs w:val="24"/>
        </w:rPr>
      </w:pPr>
      <w:r w:rsidRPr="2030048C">
        <w:rPr>
          <w:rFonts w:ascii="Arial" w:eastAsia="Arial" w:hAnsi="Arial" w:cs="Arial"/>
          <w:sz w:val="24"/>
          <w:szCs w:val="24"/>
        </w:rPr>
        <w:t>The University’s Inclusive Curriculum Framework principles and resources have been used to embed inclusivity within curriculum design, delivery and assessment, to ensure that students are not unduly advantaged or disadvantaged due to their level of prior clinical experience, learning difference or background. All new academic staff receive unconscious bias and inclusivity awareness training as part of their induction.</w:t>
      </w:r>
    </w:p>
    <w:p w:rsidRPr="2030048C" w:rsidP="2030048C">
      <w:pPr>
        <w:rPr>
          <w:rFonts w:ascii="Arial" w:eastAsia="Arial" w:hAnsi="Arial" w:cs="Arial"/>
          <w:sz w:val="24"/>
          <w:szCs w:val="24"/>
        </w:rPr>
      </w:pPr>
      <w:r w:rsidRPr="2030048C">
        <w:rPr>
          <w:rFonts w:ascii="Arial" w:eastAsia="Arial" w:hAnsi="Arial" w:cs="Arial"/>
          <w:b/>
          <w:bCs/>
          <w:sz w:val="24"/>
          <w:szCs w:val="24"/>
        </w:rPr>
        <w:t>Service user, employer and student input to programme design and delivery</w:t>
      </w:r>
    </w:p>
    <w:p w:rsidRPr="2030048C" w:rsidP="2030048C">
      <w:pPr>
        <w:rPr>
          <w:rFonts w:ascii="Arial" w:eastAsia="Arial" w:hAnsi="Arial" w:cs="Arial"/>
          <w:sz w:val="24"/>
          <w:szCs w:val="24"/>
        </w:rPr>
      </w:pPr>
      <w:r w:rsidRPr="2030048C">
        <w:rPr>
          <w:rFonts w:ascii="Arial" w:eastAsia="Arial" w:hAnsi="Arial" w:cs="Arial"/>
          <w:sz w:val="24"/>
          <w:szCs w:val="24"/>
        </w:rPr>
        <w:t xml:space="preserve">Practice partners, service users and students have participated in programme design through feedback and engagement mechanisms, including a joint engagement event which brought together all three stakeholder groups. These contributions have informed module development and the new module descriptors have been, and continue to be, discussed and reviewed at ongoing service user representative meetings, to ensure that they remain fit-for-purpose and reflect stakeholder views.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Practice partners, service users, user groups and carers participate in the delivery of the programme within the classroom. This approach introduces a range of perspectives and assists with theory/practice integration. Modules include scheduled time for service users to share their lived experience within taught sessions and simulated learning. Students also learn from, and with, service users through initiatives such as the ‘Baked Bean Company’ and the ‘Recovery College’. Students also receive feedback from service users as part of the objective structured clinical assessments and during the ‘Health and Wellbeing’ module formative group presentation in Year 1.</w:t>
      </w:r>
    </w:p>
    <w:p w:rsidRPr="2030048C" w:rsidP="2030048C">
      <w:pPr>
        <w:rPr>
          <w:rFonts w:ascii="Arial" w:eastAsia="Arial" w:hAnsi="Arial" w:cs="Arial"/>
          <w:sz w:val="24"/>
          <w:szCs w:val="24"/>
        </w:rPr>
      </w:pPr>
      <w:r w:rsidRPr="2030048C">
        <w:rPr>
          <w:rFonts w:ascii="Arial" w:eastAsia="Arial" w:hAnsi="Arial" w:cs="Arial"/>
          <w:b/>
          <w:bCs/>
          <w:sz w:val="24"/>
          <w:szCs w:val="24"/>
        </w:rPr>
        <w:t>Teaching and learning</w:t>
      </w:r>
    </w:p>
    <w:p w:rsidRPr="2030048C" w:rsidP="2030048C">
      <w:pPr>
        <w:rPr>
          <w:rFonts w:ascii="Arial" w:eastAsia="Arial" w:hAnsi="Arial" w:cs="Arial"/>
          <w:sz w:val="24"/>
          <w:szCs w:val="24"/>
        </w:rPr>
      </w:pPr>
      <w:r w:rsidRPr="2030048C">
        <w:rPr>
          <w:rFonts w:ascii="Arial" w:eastAsia="Arial" w:hAnsi="Arial" w:cs="Arial"/>
          <w:sz w:val="24"/>
          <w:szCs w:val="24"/>
        </w:rPr>
        <w:t xml:space="preserve">Teaching and learning are delivered through the integration of a variety of face-to-face activities and technology enhanced learning (TEL). Face-to-face teaching occurs in small and large groups and includes lectures, conferences, seminars, </w:t>
      </w:r>
      <w:r w:rsidRPr="2030048C">
        <w:rPr>
          <w:rFonts w:ascii="Arial" w:eastAsia="Arial" w:hAnsi="Arial" w:cs="Arial"/>
          <w:sz w:val="24"/>
          <w:szCs w:val="24"/>
        </w:rPr>
        <w:t>groupwork</w:t>
      </w:r>
      <w:r w:rsidRPr="2030048C">
        <w:rPr>
          <w:rFonts w:ascii="Arial" w:eastAsia="Arial" w:hAnsi="Arial" w:cs="Arial"/>
          <w:sz w:val="24"/>
          <w:szCs w:val="24"/>
        </w:rPr>
        <w:t xml:space="preserve"> and problem-based learning. Technology Enhanced Learning includes online activities, supported by the University’s Virtual Learning Environment (Canvas) and classroom-based technologies such as </w:t>
      </w:r>
      <w:r w:rsidRPr="2030048C">
        <w:rPr>
          <w:rFonts w:ascii="Arial" w:eastAsia="Arial" w:hAnsi="Arial" w:cs="Arial"/>
          <w:sz w:val="24"/>
          <w:szCs w:val="24"/>
        </w:rPr>
        <w:t>ResponseWare</w:t>
      </w:r>
      <w:r w:rsidRPr="2030048C">
        <w:rPr>
          <w:rFonts w:ascii="Arial" w:eastAsia="Arial" w:hAnsi="Arial" w:cs="Arial"/>
          <w:sz w:val="24"/>
          <w:szCs w:val="24"/>
        </w:rPr>
        <w:t>. Learning in the classroom will be further enhanced through use of a virtual family, a three-generation family with a range of interconnected physical, psychosocial and learning needs.</w:t>
      </w:r>
    </w:p>
    <w:p w:rsidRPr="2030048C" w:rsidP="2030048C">
      <w:pPr>
        <w:rPr>
          <w:rFonts w:ascii="Arial" w:eastAsia="Arial" w:hAnsi="Arial" w:cs="Arial"/>
          <w:sz w:val="24"/>
          <w:szCs w:val="24"/>
        </w:rPr>
      </w:pPr>
      <w:r w:rsidRPr="2030048C">
        <w:rPr>
          <w:rFonts w:ascii="Arial" w:eastAsia="Arial" w:hAnsi="Arial" w:cs="Arial"/>
          <w:sz w:val="24"/>
          <w:szCs w:val="24"/>
        </w:rPr>
        <w:t xml:space="preserve">Research informed teaching is delivered in a number of ways to ensure graduates achieve the appropriate skills and engage with evidence-based practice (EBP) and critical thinking. Newell and </w:t>
      </w:r>
      <w:r w:rsidRPr="2030048C">
        <w:rPr>
          <w:rFonts w:ascii="Arial" w:eastAsia="Arial" w:hAnsi="Arial" w:cs="Arial"/>
          <w:sz w:val="24"/>
          <w:szCs w:val="24"/>
        </w:rPr>
        <w:t>Burnard’s</w:t>
      </w:r>
      <w:r w:rsidRPr="2030048C">
        <w:rPr>
          <w:rFonts w:ascii="Arial" w:eastAsia="Arial" w:hAnsi="Arial" w:cs="Arial"/>
          <w:sz w:val="24"/>
          <w:szCs w:val="24"/>
        </w:rPr>
        <w:t xml:space="preserve"> (2011) five stages of EBP are used as a framework to structure research informed teaching within the curriculum:</w:t>
      </w:r>
    </w:p>
    <w:p w:rsidRPr="2030048C" w:rsidP="2030048C">
      <w:pPr>
        <w:numPr>
          <w:ilvl w:val="0"/>
          <w:numId w:val="18"/>
        </w:numPr>
        <w:ind w:left="720" w:right="0" w:hanging="360"/>
        <w:jc w:val="left"/>
        <w:rPr>
          <w:rFonts w:ascii="Arial" w:eastAsia="Arial" w:hAnsi="Arial" w:cs="Arial"/>
          <w:sz w:val="24"/>
          <w:szCs w:val="24"/>
        </w:rPr>
      </w:pPr>
      <w:r w:rsidRPr="2030048C">
        <w:rPr>
          <w:rFonts w:ascii="Arial" w:eastAsia="Arial" w:hAnsi="Arial" w:cs="Arial"/>
          <w:sz w:val="24"/>
          <w:szCs w:val="24"/>
        </w:rPr>
        <w:t>asking answerable questions from practice (Year 1);</w:t>
      </w:r>
    </w:p>
    <w:p w:rsidRPr="2030048C" w:rsidP="2030048C">
      <w:pPr>
        <w:numPr>
          <w:ilvl w:val="0"/>
          <w:numId w:val="18"/>
        </w:numPr>
        <w:ind w:left="720" w:right="0" w:hanging="360"/>
        <w:jc w:val="left"/>
        <w:rPr>
          <w:rFonts w:ascii="Arial" w:eastAsia="Arial" w:hAnsi="Arial" w:cs="Arial"/>
          <w:sz w:val="24"/>
          <w:szCs w:val="24"/>
        </w:rPr>
      </w:pPr>
      <w:r w:rsidRPr="2030048C">
        <w:rPr>
          <w:rFonts w:ascii="Arial" w:eastAsia="Arial" w:hAnsi="Arial" w:cs="Arial"/>
          <w:sz w:val="24"/>
          <w:szCs w:val="24"/>
        </w:rPr>
        <w:t>finding the best available evidence (Year 1);</w:t>
      </w:r>
    </w:p>
    <w:p w:rsidRPr="2030048C" w:rsidP="2030048C">
      <w:pPr>
        <w:numPr>
          <w:ilvl w:val="0"/>
          <w:numId w:val="18"/>
        </w:numPr>
        <w:ind w:left="720" w:right="0" w:hanging="360"/>
        <w:jc w:val="left"/>
        <w:rPr>
          <w:rFonts w:ascii="Arial" w:eastAsia="Arial" w:hAnsi="Arial" w:cs="Arial"/>
          <w:sz w:val="24"/>
          <w:szCs w:val="24"/>
        </w:rPr>
      </w:pPr>
      <w:r w:rsidRPr="2030048C">
        <w:rPr>
          <w:rFonts w:ascii="Arial" w:eastAsia="Arial" w:hAnsi="Arial" w:cs="Arial"/>
          <w:sz w:val="24"/>
          <w:szCs w:val="24"/>
        </w:rPr>
        <w:t>appraising the evidence for validity and applicability (Year 2);</w:t>
      </w:r>
    </w:p>
    <w:p w:rsidRPr="2030048C" w:rsidP="2030048C">
      <w:pPr>
        <w:numPr>
          <w:ilvl w:val="0"/>
          <w:numId w:val="18"/>
        </w:numPr>
        <w:ind w:left="720" w:right="0" w:hanging="360"/>
        <w:jc w:val="left"/>
        <w:rPr>
          <w:rFonts w:ascii="Arial" w:eastAsia="Arial" w:hAnsi="Arial" w:cs="Arial"/>
          <w:sz w:val="24"/>
          <w:szCs w:val="24"/>
        </w:rPr>
      </w:pPr>
      <w:r w:rsidRPr="2030048C">
        <w:rPr>
          <w:rFonts w:ascii="Arial" w:eastAsia="Arial" w:hAnsi="Arial" w:cs="Arial"/>
          <w:sz w:val="24"/>
          <w:szCs w:val="24"/>
        </w:rPr>
        <w:t>applying the results of appraisal to clinical practice (Year 2);</w:t>
      </w:r>
    </w:p>
    <w:p w:rsidRPr="2030048C" w:rsidP="2030048C">
      <w:pPr>
        <w:numPr>
          <w:ilvl w:val="0"/>
          <w:numId w:val="18"/>
        </w:numPr>
        <w:ind w:left="720" w:right="0" w:hanging="360"/>
        <w:jc w:val="left"/>
        <w:rPr>
          <w:rFonts w:ascii="Arial" w:eastAsia="Arial" w:hAnsi="Arial" w:cs="Arial"/>
          <w:sz w:val="24"/>
          <w:szCs w:val="24"/>
        </w:rPr>
      </w:pPr>
      <w:r w:rsidRPr="2030048C">
        <w:rPr>
          <w:rFonts w:ascii="Arial" w:eastAsia="Arial" w:hAnsi="Arial" w:cs="Arial"/>
          <w:sz w:val="24"/>
          <w:szCs w:val="24"/>
        </w:rPr>
        <w:t>evaluating</w:t>
      </w:r>
      <w:r w:rsidRPr="2030048C">
        <w:rPr>
          <w:rFonts w:ascii="Arial" w:eastAsia="Arial" w:hAnsi="Arial" w:cs="Arial"/>
          <w:sz w:val="24"/>
          <w:szCs w:val="24"/>
        </w:rPr>
        <w:t xml:space="preserve"> the effect of applying the evidence (if student progresses to BSc Nursing: RN).</w:t>
      </w:r>
    </w:p>
    <w:p w:rsidRPr="2030048C" w:rsidP="2030048C">
      <w:pPr>
        <w:rPr>
          <w:rFonts w:ascii="Arial" w:eastAsia="Arial" w:hAnsi="Arial" w:cs="Arial"/>
          <w:sz w:val="24"/>
          <w:szCs w:val="24"/>
        </w:rPr>
      </w:pPr>
      <w:r w:rsidRPr="2030048C">
        <w:rPr>
          <w:rFonts w:ascii="Arial" w:eastAsia="Arial" w:hAnsi="Arial" w:cs="Arial"/>
          <w:sz w:val="24"/>
          <w:szCs w:val="24"/>
        </w:rPr>
        <w:t xml:space="preserve">The Year 2 module ‘Leadership for Nursing Associates' allows students to consolidate research informed learning through the work-based learning assignment, whilst the use of an enquiry-based approach to learning and teaching fosters the development of relevant skills. Research informed teaching is also delivered through the integration of the significant body of research generated by the Faculty and course team. </w:t>
      </w:r>
    </w:p>
    <w:p w:rsidRPr="2030048C" w:rsidP="2030048C">
      <w:pPr>
        <w:rPr>
          <w:rFonts w:ascii="Arial" w:eastAsia="Arial" w:hAnsi="Arial" w:cs="Arial"/>
          <w:sz w:val="24"/>
          <w:szCs w:val="24"/>
        </w:rPr>
      </w:pPr>
      <w:r w:rsidRPr="2030048C">
        <w:rPr>
          <w:rFonts w:ascii="Arial" w:eastAsia="Arial" w:hAnsi="Arial" w:cs="Arial"/>
          <w:sz w:val="24"/>
          <w:szCs w:val="24"/>
        </w:rPr>
        <w:t xml:space="preserve">Critical thinking skills are recognised as being essential both for academic achievement and future professional employment. These are developed through the ‘Critical Thinking Skills Toolkit’ which is embedded throughout the programme. This toolkit contains activities that develop the skills students need to become thoughtful, objective and reasoned thinkers. It helps students to tackle assignments confidently, understand marking criteria, use evidence, take a reasoned approach, make structured arguments and engage with other points of view. </w:t>
      </w:r>
    </w:p>
    <w:p w:rsidRPr="2030048C" w:rsidP="2030048C">
      <w:pPr>
        <w:rPr>
          <w:rFonts w:ascii="Arial" w:eastAsia="Arial" w:hAnsi="Arial" w:cs="Arial"/>
          <w:sz w:val="24"/>
          <w:szCs w:val="24"/>
        </w:rPr>
      </w:pPr>
      <w:r w:rsidRPr="2030048C">
        <w:rPr>
          <w:rFonts w:ascii="Arial" w:eastAsia="Arial" w:hAnsi="Arial" w:cs="Arial"/>
          <w:sz w:val="24"/>
          <w:szCs w:val="24"/>
        </w:rPr>
        <w:t>Guided independent study activities are designated for each module and are identified on Canvas. This guide provides information for students in terms of the expectations for the activity, how the student will be guided and the time that should be spent on the activity. Students will have protected time allocated on their e-roster to undertake these activities along with self-directed learning. Information about the activity (e.g. time spent, type of learning activity) will be recorded within Section B of the Ongoing Assessment Record (OAR) to allow for monitoring to ensure completion of required hours and how the activity supports the module learning outcomes.</w:t>
      </w:r>
    </w:p>
    <w:p w:rsidRPr="2030048C" w:rsidP="2030048C">
      <w:pPr>
        <w:rPr>
          <w:rFonts w:ascii="Arial" w:eastAsia="Arial" w:hAnsi="Arial" w:cs="Arial"/>
          <w:sz w:val="24"/>
          <w:szCs w:val="24"/>
        </w:rPr>
      </w:pPr>
      <w:r w:rsidRPr="2030048C">
        <w:rPr>
          <w:rFonts w:ascii="Arial" w:eastAsia="Arial" w:hAnsi="Arial" w:cs="Arial"/>
          <w:b/>
          <w:bCs/>
          <w:sz w:val="24"/>
          <w:szCs w:val="24"/>
        </w:rPr>
        <w:t>Interprofessional</w:t>
      </w:r>
      <w:r w:rsidRPr="2030048C">
        <w:rPr>
          <w:rFonts w:ascii="Arial" w:eastAsia="Arial" w:hAnsi="Arial" w:cs="Arial"/>
          <w:b/>
          <w:bCs/>
          <w:sz w:val="24"/>
          <w:szCs w:val="24"/>
        </w:rPr>
        <w:t xml:space="preserve"> learning</w:t>
      </w:r>
    </w:p>
    <w:p w:rsidRPr="2030048C" w:rsidP="2030048C">
      <w:pPr>
        <w:rPr>
          <w:rFonts w:ascii="Arial" w:eastAsia="Arial" w:hAnsi="Arial" w:cs="Arial"/>
          <w:sz w:val="24"/>
          <w:szCs w:val="24"/>
        </w:rPr>
      </w:pPr>
      <w:r w:rsidRPr="2030048C">
        <w:rPr>
          <w:rFonts w:ascii="Arial" w:eastAsia="Arial" w:hAnsi="Arial" w:cs="Arial"/>
          <w:sz w:val="24"/>
          <w:szCs w:val="24"/>
        </w:rPr>
        <w:t xml:space="preserve">The concept of </w:t>
      </w:r>
      <w:r w:rsidRPr="2030048C">
        <w:rPr>
          <w:rFonts w:ascii="Arial" w:eastAsia="Arial" w:hAnsi="Arial" w:cs="Arial"/>
          <w:sz w:val="24"/>
          <w:szCs w:val="24"/>
        </w:rPr>
        <w:t>interprofessional</w:t>
      </w:r>
      <w:r w:rsidRPr="2030048C">
        <w:rPr>
          <w:rFonts w:ascii="Arial" w:eastAsia="Arial" w:hAnsi="Arial" w:cs="Arial"/>
          <w:sz w:val="24"/>
          <w:szCs w:val="24"/>
        </w:rPr>
        <w:t xml:space="preserve"> learning is introduced at the outset of the programme and is spiralled throughout. During the programme students benefit from a wide range of </w:t>
      </w:r>
      <w:r w:rsidRPr="2030048C">
        <w:rPr>
          <w:rFonts w:ascii="Arial" w:eastAsia="Arial" w:hAnsi="Arial" w:cs="Arial"/>
          <w:sz w:val="24"/>
          <w:szCs w:val="24"/>
        </w:rPr>
        <w:t>Interprofessional</w:t>
      </w:r>
      <w:r w:rsidRPr="2030048C">
        <w:rPr>
          <w:rFonts w:ascii="Arial" w:eastAsia="Arial" w:hAnsi="Arial" w:cs="Arial"/>
          <w:sz w:val="24"/>
          <w:szCs w:val="24"/>
        </w:rPr>
        <w:t xml:space="preserve"> Learning (IPL), the primary opportunity for IPL being clinical placements where students learn from, and with, a variety of health and social care professionals. </w:t>
      </w:r>
    </w:p>
    <w:p w:rsidRPr="2030048C" w:rsidP="2030048C">
      <w:pPr>
        <w:rPr>
          <w:rFonts w:ascii="Arial" w:eastAsia="Arial" w:hAnsi="Arial" w:cs="Arial"/>
          <w:sz w:val="24"/>
          <w:szCs w:val="24"/>
        </w:rPr>
      </w:pPr>
      <w:r w:rsidRPr="2030048C">
        <w:rPr>
          <w:rFonts w:ascii="Arial" w:eastAsia="Arial" w:hAnsi="Arial" w:cs="Arial"/>
          <w:sz w:val="24"/>
          <w:szCs w:val="24"/>
        </w:rPr>
        <w:t xml:space="preserve">In Year 1 students will be introduced to members of the </w:t>
      </w:r>
      <w:r w:rsidRPr="2030048C">
        <w:rPr>
          <w:rFonts w:ascii="Arial" w:eastAsia="Arial" w:hAnsi="Arial" w:cs="Arial"/>
          <w:sz w:val="24"/>
          <w:szCs w:val="24"/>
        </w:rPr>
        <w:t>interprofessional</w:t>
      </w:r>
      <w:r w:rsidRPr="2030048C">
        <w:rPr>
          <w:rFonts w:ascii="Arial" w:eastAsia="Arial" w:hAnsi="Arial" w:cs="Arial"/>
          <w:sz w:val="24"/>
          <w:szCs w:val="24"/>
        </w:rPr>
        <w:t xml:space="preserve"> team so that they have an appreciation of the diverse range of professionals who are involved in people’s care. This enables students to understand their role in the person’s journey whilst on placement. The use of simulation and the ‘Virtual family’ in Year 1 builds upon these experiences.</w:t>
      </w:r>
    </w:p>
    <w:p w:rsidRPr="2030048C" w:rsidP="2030048C">
      <w:pPr>
        <w:rPr>
          <w:rFonts w:ascii="Arial" w:eastAsia="Arial" w:hAnsi="Arial" w:cs="Arial"/>
          <w:sz w:val="24"/>
          <w:szCs w:val="24"/>
        </w:rPr>
      </w:pPr>
      <w:r w:rsidRPr="2030048C">
        <w:rPr>
          <w:rFonts w:ascii="Arial" w:eastAsia="Arial" w:hAnsi="Arial" w:cs="Arial"/>
          <w:sz w:val="24"/>
          <w:szCs w:val="24"/>
        </w:rPr>
        <w:t xml:space="preserve">The ‘Acutely unwell person’ and ‘Long-term conditions’ modules in Year 2 allow students to gain a deeper understanding of the role of the </w:t>
      </w:r>
      <w:r w:rsidRPr="2030048C">
        <w:rPr>
          <w:rFonts w:ascii="Arial" w:eastAsia="Arial" w:hAnsi="Arial" w:cs="Arial"/>
          <w:sz w:val="24"/>
          <w:szCs w:val="24"/>
        </w:rPr>
        <w:t>interprofessional</w:t>
      </w:r>
      <w:r w:rsidRPr="2030048C">
        <w:rPr>
          <w:rFonts w:ascii="Arial" w:eastAsia="Arial" w:hAnsi="Arial" w:cs="Arial"/>
          <w:sz w:val="24"/>
          <w:szCs w:val="24"/>
        </w:rPr>
        <w:t xml:space="preserve"> workforce to allow them to develop working relationships with members of the </w:t>
      </w:r>
      <w:r w:rsidRPr="2030048C">
        <w:rPr>
          <w:rFonts w:ascii="Arial" w:eastAsia="Arial" w:hAnsi="Arial" w:cs="Arial"/>
          <w:sz w:val="24"/>
          <w:szCs w:val="24"/>
        </w:rPr>
        <w:t>interprofessional</w:t>
      </w:r>
      <w:r w:rsidRPr="2030048C">
        <w:rPr>
          <w:rFonts w:ascii="Arial" w:eastAsia="Arial" w:hAnsi="Arial" w:cs="Arial"/>
          <w:sz w:val="24"/>
          <w:szCs w:val="24"/>
        </w:rPr>
        <w:t xml:space="preserve"> team.</w:t>
      </w:r>
    </w:p>
    <w:p w:rsidRPr="2030048C" w:rsidP="2030048C">
      <w:pPr>
        <w:rPr>
          <w:rFonts w:ascii="Arial" w:eastAsia="Arial" w:hAnsi="Arial" w:cs="Arial"/>
          <w:sz w:val="24"/>
          <w:szCs w:val="24"/>
        </w:rPr>
      </w:pPr>
      <w:r w:rsidRPr="2030048C">
        <w:rPr>
          <w:rFonts w:ascii="Arial" w:eastAsia="Arial" w:hAnsi="Arial" w:cs="Arial"/>
          <w:sz w:val="24"/>
          <w:szCs w:val="24"/>
        </w:rPr>
        <w:t xml:space="preserve">Learning activities with different professional groups are also undertaken within the classroom and within the Clinical Skills and Simulation Suite. </w:t>
      </w:r>
    </w:p>
    <w:p w:rsidRPr="2030048C" w:rsidP="2030048C">
      <w:pPr>
        <w:rPr>
          <w:rFonts w:ascii="Arial" w:eastAsia="Arial" w:hAnsi="Arial" w:cs="Arial"/>
          <w:sz w:val="24"/>
          <w:szCs w:val="24"/>
        </w:rPr>
      </w:pPr>
      <w:r w:rsidRPr="2030048C">
        <w:rPr>
          <w:rFonts w:ascii="Arial" w:eastAsia="Arial" w:hAnsi="Arial" w:cs="Arial"/>
          <w:b/>
          <w:bCs/>
          <w:sz w:val="24"/>
          <w:szCs w:val="24"/>
        </w:rPr>
        <w:t>Placement learning</w:t>
      </w:r>
    </w:p>
    <w:p w:rsidRPr="2030048C" w:rsidP="2030048C">
      <w:pPr>
        <w:rPr>
          <w:rFonts w:ascii="Arial" w:eastAsia="Arial" w:hAnsi="Arial" w:cs="Arial"/>
          <w:sz w:val="24"/>
          <w:szCs w:val="24"/>
        </w:rPr>
      </w:pPr>
      <w:r w:rsidRPr="2030048C">
        <w:rPr>
          <w:rFonts w:ascii="Arial" w:eastAsia="Arial" w:hAnsi="Arial" w:cs="Arial"/>
          <w:sz w:val="24"/>
          <w:szCs w:val="24"/>
        </w:rPr>
        <w:t xml:space="preserve">Practice learning is an integral part of the programme and students undertake practice learning placements in a range of settings. These are planned centrally by the Faculty’s placement office, overseen by the Director for Practice Learning and Course Leader. Placements are selected to ensure breadth of clinical experience and exposure to diverse client groups of different ages so that students become proficient in meeting the holistic needs of people across the lifespan and can successfully demonstrate the full range of competencies, skills and nursing procedures defined in the Nursing and Midwifery Council’s Standards of Proficiency for Nursing Associates (NMC, 2018b).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xml:space="preserve">All placements are preceded by a timetabled preparation session which introduces the aims of the placement and the nature of learning opportunities, so that students are able to recognise the full potential of learning situations. The session also covers the assessment of practice learning which is assessed using the England Nursing Associate Practice Assessment Document (NAPAD). The two-part document provides a framework to guide, direct and assess placement learning at each stage of the programme and is used to assess professional values, competencies and skills relating to the six NMC platforms. It also includes sections for the student to record and reflect on their practice placement and any outreach activities they may have undertaken during the placement.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xml:space="preserve">During their practice placements students learn to provide direct care to service users, families and carers under the guidance and supervision of appropriately prepared practice supervisors and, where appropriate, registered health and social care professionals from other disciplines. At the end of each placement the Practice Assessment Documents are reviewed in order to identify students’ achievements and the range of workplace activities undertaken. The course team use this information to inform module teaching and programme development and to ensure theory and practice remain well aligned. </w:t>
      </w:r>
    </w:p>
    <w:p w:rsidRPr="2030048C" w:rsidP="2030048C">
      <w:pPr>
        <w:rPr>
          <w:rFonts w:ascii="Arial" w:eastAsia="Arial" w:hAnsi="Arial" w:cs="Arial"/>
          <w:sz w:val="24"/>
          <w:szCs w:val="24"/>
        </w:rPr>
      </w:pPr>
      <w:r w:rsidRPr="2030048C">
        <w:rPr>
          <w:rFonts w:ascii="Arial" w:eastAsia="Arial" w:hAnsi="Arial" w:cs="Arial"/>
          <w:sz w:val="24"/>
          <w:szCs w:val="24"/>
        </w:rPr>
        <w:t xml:space="preserve">Placement learning is supported by simulated learning within the Faculty’s Clinical Skills and Simulation Suite, where clinical skill acquisition is developed in a safe and supportive environment. Simulated learning uses role players who represent all fields of practice to enhance breadth and depth of learning. Further planned developments include the introduction of technology enhanced learning, for example the use of patient simulators, live video streaming and Electronic Patient Records (EPR).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external placements students will also be allocated protected time within their base placement for practice learning. Protected learning time is defined by the NMC (2018) as time in a health or care setting during which students are learning and are supported to learn. The time spent on protected practice learning will be recorded by the student within Section B of the Ongoing Assessment Record (OAR) and confirmed by their practice supervisor/assessor.</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sz w:val="24"/>
          <w:szCs w:val="24"/>
        </w:rPr>
        <w:t xml:space="preserve">Assessment strategy </w:t>
      </w: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assessment of students’ learning is staged throughout the academic year to ensure coherence and an even, manageable workload. Assessment tasks have been planned to ensure parity of student effort between modules: word limits for written assignments have been standardised across the academic levels, with reference to credit volumes and number of assessments per module:</w:t>
      </w:r>
    </w:p>
    <w:p w:rsidRPr="2030048C" w:rsidP="2030048C">
      <w:pPr>
        <w:rPr>
          <w:rFonts w:ascii="Arial" w:eastAsia="Arial" w:hAnsi="Arial" w:cs="Arial"/>
          <w:sz w:val="24"/>
          <w:szCs w:val="24"/>
        </w:rPr>
      </w:pPr>
      <w:r w:rsidRPr="2030048C">
        <w:rPr>
          <w:rFonts w:ascii="Arial" w:eastAsia="Arial" w:hAnsi="Arial" w:cs="Arial"/>
          <w:sz w:val="24"/>
          <w:szCs w:val="24"/>
        </w:rPr>
        <w:t>Level 4</w:t>
      </w:r>
      <w:r w:rsidRPr="2030048C">
        <w:rPr>
          <w:rFonts w:ascii="Arial" w:eastAsia="Arial" w:hAnsi="Arial" w:cs="Arial"/>
          <w:sz w:val="24"/>
          <w:szCs w:val="24"/>
        </w:rPr>
        <w:t> </w:t>
      </w:r>
      <w:r w:rsidRPr="2030048C">
        <w:rPr>
          <w:rFonts w:ascii="Arial" w:eastAsia="Arial" w:hAnsi="Arial" w:cs="Arial"/>
          <w:sz w:val="24"/>
          <w:szCs w:val="24"/>
        </w:rPr>
        <w:t>      </w:t>
      </w:r>
      <w:r w:rsidRPr="2030048C">
        <w:rPr>
          <w:rFonts w:ascii="Arial" w:eastAsia="Arial" w:hAnsi="Arial" w:cs="Arial"/>
          <w:sz w:val="24"/>
          <w:szCs w:val="24"/>
        </w:rPr>
        <w:t>15 credits: 1,500</w:t>
      </w:r>
    </w:p>
    <w:p w:rsidRPr="2030048C" w:rsidP="2030048C">
      <w:pPr>
        <w:rPr>
          <w:rFonts w:ascii="Arial" w:eastAsia="Arial" w:hAnsi="Arial" w:cs="Arial"/>
          <w:sz w:val="24"/>
          <w:szCs w:val="24"/>
        </w:rPr>
      </w:pPr>
      <w:r w:rsidRPr="2030048C">
        <w:rPr>
          <w:rFonts w:ascii="Arial" w:eastAsia="Arial" w:hAnsi="Arial" w:cs="Arial"/>
          <w:sz w:val="24"/>
          <w:szCs w:val="24"/>
        </w:rPr>
        <w:t>                  </w:t>
      </w:r>
      <w:r w:rsidRPr="2030048C">
        <w:rPr>
          <w:rFonts w:ascii="Arial" w:eastAsia="Arial" w:hAnsi="Arial" w:cs="Arial"/>
          <w:sz w:val="24"/>
          <w:szCs w:val="24"/>
        </w:rPr>
        <w:t> </w:t>
      </w:r>
      <w:r w:rsidRPr="2030048C">
        <w:rPr>
          <w:rFonts w:ascii="Arial" w:eastAsia="Arial" w:hAnsi="Arial" w:cs="Arial"/>
          <w:sz w:val="24"/>
          <w:szCs w:val="24"/>
        </w:rPr>
        <w:t>30 credits: 2,000</w:t>
      </w:r>
    </w:p>
    <w:p w:rsidRPr="2030048C" w:rsidP="2030048C">
      <w:pPr>
        <w:rPr>
          <w:rFonts w:ascii="Arial" w:eastAsia="Arial" w:hAnsi="Arial" w:cs="Arial"/>
          <w:sz w:val="24"/>
          <w:szCs w:val="24"/>
        </w:rPr>
      </w:pPr>
      <w:r w:rsidRPr="2030048C">
        <w:rPr>
          <w:rFonts w:ascii="Arial" w:eastAsia="Arial" w:hAnsi="Arial" w:cs="Arial"/>
          <w:sz w:val="24"/>
          <w:szCs w:val="24"/>
        </w:rPr>
        <w:t>Level 5</w:t>
      </w:r>
      <w:r w:rsidRPr="2030048C">
        <w:rPr>
          <w:rFonts w:ascii="Arial" w:eastAsia="Arial" w:hAnsi="Arial" w:cs="Arial"/>
          <w:sz w:val="24"/>
          <w:szCs w:val="24"/>
        </w:rPr>
        <w:t> </w:t>
      </w:r>
      <w:r w:rsidRPr="2030048C">
        <w:rPr>
          <w:rFonts w:ascii="Arial" w:eastAsia="Arial" w:hAnsi="Arial" w:cs="Arial"/>
          <w:sz w:val="24"/>
          <w:szCs w:val="24"/>
        </w:rPr>
        <w:t>      </w:t>
      </w:r>
      <w:r w:rsidRPr="2030048C">
        <w:rPr>
          <w:rFonts w:ascii="Arial" w:eastAsia="Arial" w:hAnsi="Arial" w:cs="Arial"/>
          <w:sz w:val="24"/>
          <w:szCs w:val="24"/>
        </w:rPr>
        <w:t>15 credits: 2,000</w:t>
      </w:r>
    </w:p>
    <w:p w:rsidRPr="2030048C" w:rsidP="2030048C">
      <w:pPr>
        <w:rPr>
          <w:rFonts w:ascii="Arial" w:eastAsia="Arial" w:hAnsi="Arial" w:cs="Arial"/>
          <w:sz w:val="24"/>
          <w:szCs w:val="24"/>
        </w:rPr>
      </w:pPr>
      <w:r w:rsidRPr="2030048C">
        <w:rPr>
          <w:rFonts w:ascii="Arial" w:eastAsia="Arial" w:hAnsi="Arial" w:cs="Arial"/>
          <w:sz w:val="24"/>
          <w:szCs w:val="24"/>
        </w:rPr>
        <w:t>                  </w:t>
      </w:r>
      <w:r w:rsidRPr="2030048C">
        <w:rPr>
          <w:rFonts w:ascii="Arial" w:eastAsia="Arial" w:hAnsi="Arial" w:cs="Arial"/>
          <w:sz w:val="24"/>
          <w:szCs w:val="24"/>
        </w:rPr>
        <w:t> </w:t>
      </w:r>
      <w:r w:rsidRPr="2030048C">
        <w:rPr>
          <w:rFonts w:ascii="Arial" w:eastAsia="Arial" w:hAnsi="Arial" w:cs="Arial"/>
          <w:sz w:val="24"/>
          <w:szCs w:val="24"/>
        </w:rPr>
        <w:t>30 credits: 2,500.</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xml:space="preserve">Each assessment has a formative element which allows students to develop their ideas, seek feedback and maximise success at the summative submission. Students are also provided with feed-forward at the summative points, which clarifies what they need to do to develop their future assignments and academic skills, and achieve their full potential. The first assessment attracts a low weighting and is scheduled early in the first semester of Year 1, with the aim of providing early feedback and guidance. Assignments are assessed using an online marking rubric to ensure transparency and facilitate feedback and feed-forward. A range of assessment types are employed and include examinations, coursework and practical assessments in both the Clinical Skills and Simulation Suite and the workplace. Wherever possible, theoretical assessment tasks aim to be authentic, building upon experiences in practice and are used to demonstrate clear linkages between theory and practice. Students build a portfolio of evidence throughout the programme and this is used to prepare a capstone assignment in Year 2.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xml:space="preserve">Assessment of practice is achieved through successful completion of the practice assessment document and objective structured clinical assessments (OSCAs), in conjunction with successful sign-off in practice by a practice assessor and an academic assessor at the end of Years 1 and 2. Students require a pass in both theory and practice to achieve their final award. </w:t>
      </w:r>
    </w:p>
    <w:p w:rsidRPr="2030048C" w:rsidP="2030048C">
      <w:pPr>
        <w:rPr>
          <w:rFonts w:ascii="Arial" w:eastAsia="Arial" w:hAnsi="Arial" w:cs="Arial"/>
          <w:sz w:val="24"/>
          <w:szCs w:val="24"/>
        </w:rPr>
      </w:pPr>
      <w:r w:rsidRPr="2030048C">
        <w:rPr>
          <w:rFonts w:ascii="Arial" w:eastAsia="Arial" w:hAnsi="Arial" w:cs="Arial"/>
          <w:b/>
          <w:bCs/>
          <w:sz w:val="24"/>
          <w:szCs w:val="24"/>
        </w:rPr>
        <w:t>Extra-curricular activities</w:t>
      </w:r>
    </w:p>
    <w:p w:rsidRPr="2030048C" w:rsidP="2030048C">
      <w:pPr>
        <w:rPr>
          <w:rFonts w:ascii="Arial" w:eastAsia="Arial" w:hAnsi="Arial" w:cs="Arial"/>
          <w:sz w:val="24"/>
          <w:szCs w:val="24"/>
        </w:rPr>
      </w:pPr>
      <w:r w:rsidRPr="2030048C">
        <w:rPr>
          <w:rFonts w:ascii="Arial" w:eastAsia="Arial" w:hAnsi="Arial" w:cs="Arial"/>
          <w:sz w:val="24"/>
          <w:szCs w:val="24"/>
        </w:rPr>
        <w:t xml:space="preserve">There are a wide range of extra-curricular activities which are available to students: </w:t>
      </w:r>
    </w:p>
    <w:p w:rsidRPr="2030048C" w:rsidP="2030048C">
      <w:pPr>
        <w:rPr>
          <w:rFonts w:ascii="Arial" w:eastAsia="Arial" w:hAnsi="Arial" w:cs="Arial"/>
          <w:sz w:val="24"/>
          <w:szCs w:val="24"/>
        </w:rPr>
      </w:pPr>
      <w:r w:rsidRPr="2030048C">
        <w:rPr>
          <w:rFonts w:ascii="Arial" w:eastAsia="Arial" w:hAnsi="Arial" w:cs="Arial"/>
          <w:sz w:val="24"/>
          <w:szCs w:val="24"/>
        </w:rPr>
        <w:t>•</w:t>
      </w:r>
      <w:r w:rsidRPr="2030048C">
        <w:rPr>
          <w:rFonts w:ascii="Arial" w:eastAsia="Arial" w:hAnsi="Arial" w:cs="Arial"/>
          <w:sz w:val="24"/>
          <w:szCs w:val="24"/>
        </w:rPr>
        <w:t> </w:t>
      </w:r>
      <w:r w:rsidRPr="2030048C">
        <w:rPr>
          <w:rFonts w:ascii="Arial" w:eastAsia="Arial" w:hAnsi="Arial" w:cs="Arial"/>
          <w:sz w:val="24"/>
          <w:szCs w:val="24"/>
        </w:rPr>
        <w:t xml:space="preserve">the School of Nursing has an active Nursing Society, run by students, which organises student activities and which has facilitated a number of collaborations with staff; </w:t>
      </w:r>
    </w:p>
    <w:p w:rsidRPr="2030048C" w:rsidP="2030048C">
      <w:pPr>
        <w:rPr>
          <w:rFonts w:ascii="Arial" w:eastAsia="Arial" w:hAnsi="Arial" w:cs="Arial"/>
          <w:sz w:val="24"/>
          <w:szCs w:val="24"/>
        </w:rPr>
      </w:pPr>
      <w:r w:rsidRPr="2030048C">
        <w:rPr>
          <w:rFonts w:ascii="Arial" w:eastAsia="Arial" w:hAnsi="Arial" w:cs="Arial"/>
          <w:sz w:val="24"/>
          <w:szCs w:val="24"/>
        </w:rPr>
        <w:t>•</w:t>
      </w:r>
      <w:r w:rsidRPr="2030048C">
        <w:rPr>
          <w:rFonts w:ascii="Arial" w:eastAsia="Arial" w:hAnsi="Arial" w:cs="Arial"/>
          <w:sz w:val="24"/>
          <w:szCs w:val="24"/>
        </w:rPr>
        <w:t> </w:t>
      </w:r>
      <w:r w:rsidRPr="2030048C">
        <w:rPr>
          <w:rFonts w:ascii="Arial" w:eastAsia="Arial" w:hAnsi="Arial" w:cs="Arial"/>
          <w:sz w:val="24"/>
          <w:szCs w:val="24"/>
        </w:rPr>
        <w:t>the</w:t>
      </w:r>
      <w:r w:rsidRPr="2030048C">
        <w:rPr>
          <w:rFonts w:ascii="Arial" w:eastAsia="Arial" w:hAnsi="Arial" w:cs="Arial"/>
          <w:sz w:val="24"/>
          <w:szCs w:val="24"/>
        </w:rPr>
        <w:t xml:space="preserve"> SNAP (Student Nurse Academic Partner) conference is a student-led conference for students, staff and clinical partners. Students develop their work with a member of academic staff for presentation and publication; </w:t>
      </w:r>
    </w:p>
    <w:p w:rsidRPr="2030048C" w:rsidP="2030048C">
      <w:pPr>
        <w:rPr>
          <w:rFonts w:ascii="Arial" w:eastAsia="Arial" w:hAnsi="Arial" w:cs="Arial"/>
          <w:sz w:val="24"/>
          <w:szCs w:val="24"/>
        </w:rPr>
      </w:pPr>
      <w:r w:rsidRPr="2030048C">
        <w:rPr>
          <w:rFonts w:ascii="Arial" w:eastAsia="Arial" w:hAnsi="Arial" w:cs="Arial"/>
          <w:sz w:val="24"/>
          <w:szCs w:val="24"/>
        </w:rPr>
        <w:t>•</w:t>
      </w:r>
      <w:r w:rsidRPr="2030048C">
        <w:rPr>
          <w:rFonts w:ascii="Arial" w:eastAsia="Arial" w:hAnsi="Arial" w:cs="Arial"/>
          <w:sz w:val="24"/>
          <w:szCs w:val="24"/>
        </w:rPr>
        <w:t> </w:t>
      </w:r>
      <w:r w:rsidRPr="2030048C">
        <w:rPr>
          <w:rFonts w:ascii="Arial" w:eastAsia="Arial" w:hAnsi="Arial" w:cs="Arial"/>
          <w:sz w:val="24"/>
          <w:szCs w:val="24"/>
        </w:rPr>
        <w:t xml:space="preserve">SADRAS (Student Academic Development Research Associate Scheme) is a KU initiative which allows students to undertake a research project with an academic partner; </w:t>
      </w:r>
    </w:p>
    <w:p w:rsidRPr="2030048C" w:rsidP="2030048C">
      <w:pPr>
        <w:rPr>
          <w:rFonts w:ascii="Arial" w:eastAsia="Arial" w:hAnsi="Arial" w:cs="Arial"/>
          <w:sz w:val="24"/>
          <w:szCs w:val="24"/>
        </w:rPr>
      </w:pPr>
      <w:r w:rsidRPr="2030048C">
        <w:rPr>
          <w:rFonts w:ascii="Arial" w:eastAsia="Arial" w:hAnsi="Arial" w:cs="Arial"/>
          <w:sz w:val="24"/>
          <w:szCs w:val="24"/>
        </w:rPr>
        <w:t>•</w:t>
      </w:r>
      <w:r w:rsidRPr="2030048C">
        <w:rPr>
          <w:rFonts w:ascii="Arial" w:eastAsia="Arial" w:hAnsi="Arial" w:cs="Arial"/>
          <w:sz w:val="24"/>
          <w:szCs w:val="24"/>
        </w:rPr>
        <w:t> </w:t>
      </w:r>
      <w:r w:rsidRPr="2030048C">
        <w:rPr>
          <w:rFonts w:ascii="Arial" w:eastAsia="Arial" w:hAnsi="Arial" w:cs="Arial"/>
          <w:sz w:val="24"/>
          <w:szCs w:val="24"/>
        </w:rPr>
        <w:t>the</w:t>
      </w:r>
      <w:r w:rsidRPr="2030048C">
        <w:rPr>
          <w:rFonts w:ascii="Arial" w:eastAsia="Arial" w:hAnsi="Arial" w:cs="Arial"/>
          <w:sz w:val="24"/>
          <w:szCs w:val="24"/>
        </w:rPr>
        <w:t xml:space="preserve"> KU Ambassador role is a paid role in which students provide support for open days, welcome events and induction; </w:t>
      </w:r>
    </w:p>
    <w:p w:rsidRPr="2030048C" w:rsidP="2030048C">
      <w:pPr>
        <w:rPr>
          <w:rFonts w:ascii="Arial" w:eastAsia="Arial" w:hAnsi="Arial" w:cs="Arial"/>
          <w:sz w:val="24"/>
          <w:szCs w:val="24"/>
        </w:rPr>
      </w:pPr>
      <w:r w:rsidRPr="2030048C">
        <w:rPr>
          <w:rFonts w:ascii="Arial" w:eastAsia="Arial" w:hAnsi="Arial" w:cs="Arial"/>
          <w:sz w:val="24"/>
          <w:szCs w:val="24"/>
        </w:rPr>
        <w:t>•</w:t>
      </w:r>
      <w:r w:rsidRPr="2030048C">
        <w:rPr>
          <w:rFonts w:ascii="Arial" w:eastAsia="Arial" w:hAnsi="Arial" w:cs="Arial"/>
          <w:sz w:val="24"/>
          <w:szCs w:val="24"/>
        </w:rPr>
        <w:t> </w:t>
      </w:r>
      <w:r w:rsidRPr="2030048C">
        <w:rPr>
          <w:rFonts w:ascii="Arial" w:eastAsia="Arial" w:hAnsi="Arial" w:cs="Arial"/>
          <w:sz w:val="24"/>
          <w:szCs w:val="24"/>
        </w:rPr>
        <w:t>the</w:t>
      </w:r>
      <w:r w:rsidRPr="2030048C">
        <w:rPr>
          <w:rFonts w:ascii="Arial" w:eastAsia="Arial" w:hAnsi="Arial" w:cs="Arial"/>
          <w:sz w:val="24"/>
          <w:szCs w:val="24"/>
        </w:rPr>
        <w:t xml:space="preserve"> Kingston Award is a scheme that allows students to gain recognition for their extra-curricular work and can be used to enhance the student’s CV when applying for their first job. </w:t>
      </w:r>
    </w:p>
    <w:p w:rsidRPr="2030048C" w:rsidP="2030048C">
      <w:pPr>
        <w:rPr>
          <w:rFonts w:ascii="Arial" w:eastAsia="Arial" w:hAnsi="Arial" w:cs="Arial"/>
          <w:sz w:val="24"/>
          <w:szCs w:val="24"/>
        </w:rPr>
      </w:pPr>
      <w:r w:rsidRPr="2030048C">
        <w:rPr>
          <w:rFonts w:ascii="Arial" w:eastAsia="Arial" w:hAnsi="Arial" w:cs="Arial"/>
          <w:sz w:val="24"/>
          <w:szCs w:val="24"/>
        </w:rPr>
        <w:t>There are numerous other opportunities for paid and unpaid roles, volunteering, sports and societies. Students can also access activities at St. George’s University of London’s Student Union. Student nominations for University and national awards (e.g. Nursing Times Awards) are encouraged.</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color w:val="000000"/>
          <w:sz w:val="24"/>
          <w:szCs w:val="24"/>
        </w:rPr>
        <w:t>The Nursing Associate Foundation Degree is a demanding course, both personally and academically. Students are recruited from diverse academic backgrounds, some with relatively few academic qualifications. Strong emphasis is placed on supporting students to achieve and, in order to promote successful outcomes, the course team has evolved structures to support students’ wide-ranging needs. Academic skills development is introduced during the induction weeks and, thereafter, spiraled throughout the curriculum via two 15 credit ‘Personal and professional development’ modules. These run longitudinally in each year, embedding academic and key skills development and supporting students’ academic and professional growth. This approach tailors support to the academic level of study to ensure students develop their skills appropriately. Diagnostic work is set for all students at the start of the programme in the ‘Personal and professional development’ module and enables the course team to identify those students who may benefit from additional input with academic or functional skills, for example mature entrants who may not have studied for some time and who may benefit from some early, focused support to refresh their study skills, mathematics or written English. In addition to these two modules the programme team and University provide a comprehensive matrix of roles and centralised services which are freely available to students throughout their studies. These include:</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Module leader and teaching team: the module team are the primary source for academic support and assignment supervision. They coordinate tutorial support for the formative and summative submissions and ensure appropriate feedback and feed forward is provided. The module team will refer students in need of additional support.</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 xml:space="preserve">Personal Tutor Scheme: Pastoral care is a strong feature of the Nursing Associate Foundation Degree. Most students on the programme are entering higher education for the first time and the combination of work, study and personal family commitments can be challenging. Every student is allocated a named personal tutor who provides a constant presence and continuity of support throughout the programme, encouraging and motivating their tutees. Regular personal tutor group tutorials are timetabled to facilitate group support at key points. Students have regular one-to-one meetings with their personal tutor to monitor their progression and development. Students are also able to contact their personal tutor for further academic and pastoral support, as required. Where appropriate, the personal tutor will refer to the School’s dedicated specialist lecturer for academic support who can provide one-to-one assistance with academic skill development. </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Specialist lecturer with a remit for academic support: students can self-refer or be referred by any member of academic staff for one-to-one tutoring to support writing/academic skills; English language development; learning difference needs (e.g.  dyslexia).</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‘Buddy’ system: first-year students are buddied with a second-year student who is able to provide informal guidance and peer support from their own experience as a learner. This informal sharing of learning facilitates the growth of confidence in new learners and provides a network of support. It also assists second-year students develop the supervision and supporting skills they require for professional practice.</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Academic Skills Centres: self-referral drop-in centres staffed by specialist academic support lecturers who provide small group and one to one support.</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Canvas: The University uses Canvas as its virtual learning environment which provides a versatile, interactive learning platform.</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IT support: Canvas has its own dedicated 24-hour support available to students. Additional IT support can be accessed via ‘My Kingston’.</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Faculty Student Achievement Officer: This is a non-academic role which provides pastoral support and advice. Students can arrange a one-to-one meeting or attend drop-in appointments. The Student Achievement Officer is able to sign-post students to the wide range of services offered by the University. These include finance, accommodation, disability and dyslexia, health and wellbeing, counselling, faith and spirituality, Union of Kingston University Students.</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Access to world-class learning resource centres (LRC), online learning facilities and other learning support. LRC support staff offer academic skills development both within the LRC and also integrated into module delivery.</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Qualified disability advisor who gives guidance on reasonable adjustments and support for the student and advises academic staff.</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Confidential counselling and pastoral support, including mental health support services.</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Comprehensive occupational health services if required, beyond the employing organisation’s own provision.</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 xml:space="preserve">Practice learning support: Each student is allocated a named practice supervisor who has an overall responsibility for supporting the student and facilitating learning during practice placements. Additional support may also be available locally, such as practice educators and student placement coordinators. Each placement area is supported by a link lecturer: a member of faculty staff who visits the area and provides support to students placed there and their practice supervisor, as required. This support is supplemented by the recent appointment of a full-time lecturer for practice learning who is a member of the nursing associate course team and who has the specific remit of providing practice learning support for nursing associate students. </w:t>
      </w:r>
    </w:p>
    <w:p w:rsidRPr="2030048C" w:rsidP="2030048C">
      <w:pPr>
        <w:numPr>
          <w:ilvl w:val="0"/>
          <w:numId w:val="19"/>
        </w:numPr>
        <w:ind w:left="720" w:right="0" w:hanging="360"/>
        <w:jc w:val="both"/>
        <w:rPr>
          <w:rFonts w:ascii="Arial" w:eastAsia="Arial" w:hAnsi="Arial" w:cs="Arial"/>
          <w:sz w:val="24"/>
          <w:szCs w:val="24"/>
        </w:rPr>
      </w:pPr>
      <w:r w:rsidRPr="2030048C">
        <w:rPr>
          <w:rFonts w:ascii="Arial" w:eastAsia="Arial" w:hAnsi="Arial" w:cs="Arial"/>
          <w:color w:val="000000"/>
          <w:sz w:val="24"/>
          <w:szCs w:val="24"/>
        </w:rPr>
        <w:t>Apprenticeship tripartite review meetings: These are held twice per year between apprentice student, employer and university (normally personal tutor) to review the student’s progress and support needs. The frequency of the meetings is confirmed in the apprenticeship Commitment Statement which is issued at the start of the course and signed by the employer, the student and university. It summarises the schedule, roles, responsibilities and funding to support the successful completion of the apprenticeship.</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 xml:space="preserve"> The University has several methods for evaluating and improving the quality and standards of its provision.  </w:t>
      </w:r>
      <w:r w:rsidRPr="2030048C">
        <w:rPr>
          <w:rFonts w:ascii="Arial" w:eastAsia="Arial" w:hAnsi="Arial" w:cs="Arial"/>
          <w:sz w:val="24"/>
          <w:szCs w:val="24"/>
        </w:rPr>
        <w:t>These include:</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External examiners</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Boards of study with student representation</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Annual Monitoring and Enhancement</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Periodic review undertaken at subject level</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Student evaluation including M</w:t>
      </w:r>
      <w:r w:rsidRPr="2030048C">
        <w:rPr>
          <w:rFonts w:ascii="Arial" w:eastAsia="Arial" w:hAnsi="Arial" w:cs="Arial"/>
          <w:sz w:val="24"/>
          <w:szCs w:val="24"/>
        </w:rPr>
        <w:t>odule Evaluation Questionnaire (M</w:t>
      </w:r>
      <w:r w:rsidRPr="2030048C">
        <w:rPr>
          <w:rFonts w:ascii="Arial" w:eastAsia="Arial" w:hAnsi="Arial" w:cs="Arial"/>
          <w:sz w:val="24"/>
          <w:szCs w:val="24"/>
        </w:rPr>
        <w:t>EQs</w:t>
      </w:r>
      <w:r w:rsidRPr="2030048C">
        <w:rPr>
          <w:rFonts w:ascii="Arial" w:eastAsia="Arial" w:hAnsi="Arial" w:cs="Arial"/>
          <w:sz w:val="24"/>
          <w:szCs w:val="24"/>
        </w:rPr>
        <w:t>)</w:t>
      </w:r>
      <w:r w:rsidRPr="2030048C">
        <w:rPr>
          <w:rFonts w:ascii="Arial" w:eastAsia="Arial" w:hAnsi="Arial" w:cs="Arial"/>
          <w:sz w:val="24"/>
          <w:szCs w:val="24"/>
        </w:rPr>
        <w:t>, level surveys and the N</w:t>
      </w:r>
      <w:r w:rsidRPr="2030048C">
        <w:rPr>
          <w:rFonts w:ascii="Arial" w:eastAsia="Arial" w:hAnsi="Arial" w:cs="Arial"/>
          <w:sz w:val="24"/>
          <w:szCs w:val="24"/>
        </w:rPr>
        <w:t>ational Student Survey (NSS)</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Moderation</w:t>
      </w:r>
      <w:r w:rsidRPr="2030048C">
        <w:rPr>
          <w:rFonts w:ascii="Arial" w:eastAsia="Arial" w:hAnsi="Arial" w:cs="Arial"/>
          <w:sz w:val="24"/>
          <w:szCs w:val="24"/>
        </w:rPr>
        <w:t xml:space="preserve"> policies</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Feedback from employers</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Staff Student Consultative Committee</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Faculty forum</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NMC/QAA Major Review of Nursing and Midwifery approved programmes</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Health Education South London Quality Contract Performance Monitoring</w:t>
      </w:r>
    </w:p>
    <w:p w:rsidR="3D0EBCB8" w:rsidRPr="2030048C" w:rsidP="2030048C">
      <w:pPr>
        <w:numPr>
          <w:ilvl w:val="0"/>
          <w:numId w:val="20"/>
        </w:numPr>
        <w:ind w:left="720" w:right="0" w:hanging="360"/>
        <w:jc w:val="left"/>
        <w:rPr>
          <w:rFonts w:ascii="Arial" w:eastAsia="Arial" w:hAnsi="Arial" w:cs="Arial"/>
          <w:sz w:val="24"/>
          <w:szCs w:val="24"/>
        </w:rPr>
      </w:pPr>
      <w:r w:rsidRPr="2030048C">
        <w:rPr>
          <w:rFonts w:ascii="Arial" w:eastAsia="Arial" w:hAnsi="Arial" w:cs="Arial"/>
          <w:sz w:val="24"/>
          <w:szCs w:val="24"/>
        </w:rPr>
        <w:t>Consultation with employers, practice partners and service users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267"/>
        <w:gridCol w:w="265"/>
        <w:gridCol w:w="680"/>
        <w:gridCol w:w="680"/>
        <w:gridCol w:w="680"/>
        <w:gridCol w:w="680"/>
        <w:gridCol w:w="680"/>
        <w:gridCol w:w="679"/>
        <w:gridCol w:w="1"/>
        <w:gridCol w:w="680"/>
        <w:gridCol w:w="680"/>
        <w:gridCol w:w="680"/>
        <w:gridCol w:w="680"/>
        <w:gridCol w:w="678"/>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NU5004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NU5002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NU5003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NU5005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NU5001</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0184B557" w:rsidP="2030048C" w14:paraId="0E005814"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multilevel"/>
    <w:tmpl w:val="74989B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4989B09"/>
    <w:multiLevelType w:val="multilevel"/>
    <w:tmpl w:val="74989B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multilevel"/>
    <w:tmpl w:val="74989B0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first">
    <w:name w:val="first"/>
    <w:basedOn w:val="Normal"/>
  </w:style>
  <w:style w:type="paragraph" w:customStyle="1" w:styleId="p">
    <w:name w:val="p"/>
    <w:basedOn w:val="Normal"/>
  </w:style>
  <w:style w:type="paragraph" w:customStyle="1" w:styleId="ListParagraph0">
    <w:name w:val="ListParagraph"/>
    <w:basedOn w:val="ListParagraph"/>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2.png"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