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Retail Leadership Degree Apprenticeship</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13/09/2024</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17/09/2026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02/09/2026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Business and Social Sciences</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Kingston Business School</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Management (CC0022)</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Retail Leadership Degree Apprenticeship</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BSc Retail Leadership Degree Apprenticeship</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Certificate in Higher Education in Retail Leadership</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Diploma in Higher Education in Retail Leadership</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UORLA1RLA77</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NA</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Hill</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3: Blended predominantly online (41-99%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 years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8 years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At Kingston University we use a range of entry criteria to assess an applicant’s suitability for our courses. For most undergraduate programmes, entry requirements are expressed as a UCAS Tariff range place on a scale between 96–144 UCAS points depending on the course. They may also include specific grade requirements in relevant subjects. Some professionally accredited, portfolio-based, or highly competitive courses may have higher entry requirements or additional selection criteria.</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Depending on the course applied for, applicants may also be required to attend an interview, submit a portfolio, or complete an audition or performance task as part of the admissions process. These additional methods of assessment help us better understand an applicant’s potential, skills, and suitability for their chosen course.</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We recognise that every applicant’s journey into Higher Education is unique. Alongside traditional qualifications, we may also consider relevant work experience, prior learning, contextual information, and other non-traditional pathways into university-level study where appropriate.</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All applicants whose first language is not English must also meet the University’s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xml:space="preserve">As entry requirements can vary by course and may be reviewed periodically, applicants are encouraged to visit the relevant course page on the </w:t>
            </w:r>
            <w:hyperlink r:id="rId9" w:tgtFrame="_blank" w:history="1">
              <w:r w:rsidRPr="2030048C">
                <w:rPr>
                  <w:rStyle w:val="normaltextrun"/>
                  <w:rFonts w:ascii="Arial" w:eastAsia="Arial" w:hAnsi="Arial" w:cs="Arial"/>
                  <w:b w:val="0"/>
                  <w:bCs w:val="0"/>
                  <w:color w:val="000000"/>
                  <w:sz w:val="24"/>
                  <w:szCs w:val="24"/>
                  <w:shd w:val="clear" w:color="auto" w:fill="FFFFFF"/>
                </w:rPr>
                <w:t>Kingston University website</w:t>
              </w:r>
            </w:hyperlink>
            <w:r w:rsidRPr="2030048C">
              <w:rPr>
                <w:rStyle w:val="normaltextrun"/>
                <w:rFonts w:ascii="Arial" w:eastAsia="Arial" w:hAnsi="Arial" w:cs="Arial"/>
                <w:b w:val="0"/>
                <w:bCs w:val="0"/>
                <w:color w:val="000000"/>
                <w:sz w:val="24"/>
                <w:szCs w:val="24"/>
                <w:shd w:val="clear" w:color="auto" w:fill="FFFFFF"/>
              </w:rPr>
              <w:t xml:space="preserve"> for the most up-to-date information on course-specific entry criteria and admissions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N/A</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N/A</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Yes</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2CEE21A5" w:rsidP="3F857433" w14:paraId="7A2E12A4" w14:textId="06931BC3">
      <w:pPr>
        <w:rPr>
          <w:rStyle w:val="normaltextrun"/>
          <w:rFonts w:ascii="Arial" w:eastAsia="Arial" w:hAnsi="Arial" w:cs="Arial"/>
          <w:color w:val="000000" w:themeColor="text1" w:themeShade="FF" w:themeTint="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5"/>
        <w:gridCol w:w="7041"/>
      </w:tblGrid>
      <w:tr w14:paraId="11D938A8" w14:textId="77777777" w:rsidTr="149E0DB4">
        <w:tblPrEx>
          <w:tblW w:w="0" w:type="auto"/>
          <w:tblLook w:val="04A0"/>
        </w:tblPrEx>
        <w:tc>
          <w:tcPr>
            <w:tcW w:w="9016" w:type="dxa"/>
            <w:gridSpan w:val="2"/>
          </w:tcPr>
          <w:p w:rsidR="00A92C9B" w:rsidRPr="00BF1022" w:rsidP="149E0DB4" w14:paraId="148D1BBF" w14:textId="145B8F13">
            <w:pPr>
              <w:rPr>
                <w:rFonts w:ascii="Arial" w:eastAsia="Arial" w:hAnsi="Arial" w:cs="Arial"/>
                <w:b/>
                <w:bCs/>
                <w:i/>
                <w:iCs/>
                <w:sz w:val="24"/>
                <w:szCs w:val="24"/>
              </w:rPr>
            </w:pPr>
            <w:r w:rsidRPr="149E0DB4">
              <w:rPr>
                <w:rFonts w:ascii="Arial" w:eastAsia="Arial" w:hAnsi="Arial" w:cs="Arial"/>
                <w:b/>
                <w:bCs/>
                <w:i/>
                <w:iCs/>
                <w:sz w:val="24"/>
                <w:szCs w:val="24"/>
              </w:rPr>
              <w:t>For Higher or Degree Apprenticeship proposals only</w:t>
            </w:r>
          </w:p>
          <w:p w:rsidR="00A92C9B" w:rsidRPr="00BF1022" w:rsidP="540725A5" w14:paraId="046E2DA1" w14:textId="77777777">
            <w:pPr>
              <w:rPr>
                <w:rFonts w:ascii="Arial" w:eastAsia="Arial" w:hAnsi="Arial" w:cs="Arial"/>
                <w:b w:val="0"/>
                <w:bCs w:val="0"/>
                <w:i/>
                <w:iCs/>
                <w:color w:val="FF0000"/>
                <w:sz w:val="24"/>
                <w:szCs w:val="24"/>
              </w:rPr>
            </w:pPr>
          </w:p>
        </w:tc>
      </w:tr>
      <w:tr w14:paraId="601CA2E9" w14:textId="77777777" w:rsidTr="149E0DB4">
        <w:tblPrEx>
          <w:tblW w:w="0" w:type="auto"/>
          <w:tblLook w:val="04A0"/>
        </w:tblPrEx>
        <w:tc>
          <w:tcPr>
            <w:tcW w:w="3436" w:type="dxa"/>
          </w:tcPr>
          <w:p w:rsidR="00A92C9B" w:rsidRPr="00BF1022" w:rsidP="540725A5" w14:paraId="555F3D3A"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Higher or </w:t>
            </w:r>
            <w:r w:rsidRPr="540725A5">
              <w:rPr>
                <w:rFonts w:ascii="Arial" w:eastAsia="Arial" w:hAnsi="Arial" w:cs="Arial"/>
                <w:b w:val="0"/>
                <w:bCs w:val="0"/>
                <w:sz w:val="24"/>
                <w:szCs w:val="24"/>
              </w:rPr>
              <w:t>Degree Apprenticeship standard:</w:t>
            </w:r>
          </w:p>
          <w:p w:rsidR="00A92C9B" w:rsidRPr="00BF1022" w:rsidP="540725A5" w14:paraId="41BCBCC0" w14:textId="77777777">
            <w:pPr>
              <w:rPr>
                <w:rFonts w:ascii="Arial" w:eastAsia="Arial" w:hAnsi="Arial" w:cs="Arial"/>
                <w:b w:val="0"/>
                <w:bCs w:val="0"/>
                <w:sz w:val="24"/>
                <w:szCs w:val="24"/>
              </w:rPr>
            </w:pPr>
          </w:p>
        </w:tc>
        <w:tc>
          <w:tcPr>
            <w:tcW w:w="5580" w:type="dxa"/>
          </w:tcPr>
          <w:p w:rsidR="00A92C9B" w:rsidRPr="00BF1022" w:rsidP="2030048C" w14:paraId="00A1F40F" w14:textId="7A2FA464">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rPr>
              <w:t>ST 0547 Retail Leadership Apprenticeship Standards</w:t>
            </w:r>
            <w:r w:rsidRPr="2030048C">
              <w:rPr>
                <w:rStyle w:val="eop"/>
                <w:rFonts w:ascii="Arial" w:eastAsia="Arial" w:hAnsi="Arial" w:cs="Arial"/>
                <w:b w:val="0"/>
                <w:bCs w:val="0"/>
                <w:color w:val="000000"/>
                <w:sz w:val="24"/>
                <w:szCs w:val="24"/>
                <w:shd w:val="clear" w:color="auto" w:fill="FFFFFF"/>
                <w:lang w:val="en-GB"/>
              </w:rPr>
              <w:t> </w:t>
            </w:r>
          </w:p>
        </w:tc>
      </w:tr>
      <w:tr w14:paraId="3120C580" w14:textId="77777777" w:rsidTr="149E0DB4">
        <w:tblPrEx>
          <w:tblW w:w="0" w:type="auto"/>
          <w:tblLook w:val="04A0"/>
        </w:tblPrEx>
        <w:tc>
          <w:tcPr>
            <w:tcW w:w="3436" w:type="dxa"/>
          </w:tcPr>
          <w:p w:rsidR="00A92C9B" w:rsidRPr="00BF1022" w:rsidP="2030048C" w14:paraId="45A2BF14"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 xml:space="preserve">Recruitment, </w:t>
            </w:r>
            <w:r w:rsidRPr="2030048C">
              <w:rPr>
                <w:rFonts w:ascii="Arial" w:eastAsia="Arial" w:hAnsi="Arial" w:cs="Arial"/>
                <w:b w:val="0"/>
                <w:bCs w:val="0"/>
                <w:sz w:val="24"/>
                <w:szCs w:val="24"/>
                <w:lang w:val="en-GB"/>
              </w:rPr>
              <w:t>Selection</w:t>
            </w:r>
            <w:r w:rsidRPr="2030048C">
              <w:rPr>
                <w:rFonts w:ascii="Arial" w:eastAsia="Arial" w:hAnsi="Arial" w:cs="Arial"/>
                <w:b w:val="0"/>
                <w:bCs w:val="0"/>
                <w:sz w:val="24"/>
                <w:szCs w:val="24"/>
                <w:lang w:val="en-GB"/>
              </w:rPr>
              <w:t xml:space="preserve"> and Admission process:</w:t>
            </w:r>
          </w:p>
          <w:p w:rsidR="00A92C9B" w:rsidRPr="00BF1022" w:rsidP="540725A5" w14:paraId="0F893FEE" w14:textId="77777777">
            <w:pPr>
              <w:rPr>
                <w:rFonts w:ascii="Arial" w:eastAsia="Arial" w:hAnsi="Arial" w:cs="Arial"/>
                <w:b w:val="0"/>
                <w:bCs w:val="0"/>
                <w:sz w:val="24"/>
                <w:szCs w:val="24"/>
              </w:rPr>
            </w:pPr>
          </w:p>
        </w:tc>
        <w:tc>
          <w:tcPr>
            <w:tcW w:w="5580" w:type="dxa"/>
          </w:tcPr>
          <w:p w:rsidRPr="2030048C" w:rsidP="2030048C" w14:paraId="1F6642E3" w14:textId="5DEC8FDB">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Apprentices will be recruited by the employer whereupon the KU apprenticeship team will invite all applicants to undertake an Initial Needs Assessment (INA). Following this assessment, an online interview will be arranged. Successful applicants are given a conditional offer to the course. Once this has been accepted, KU sends out enrolment communication. Upon successful enrolment, the apprentice will receive a KU ID and access to Canvas.</w:t>
            </w:r>
          </w:p>
          <w:p w:rsidR="00A92C9B" w:rsidRPr="00BF1022" w:rsidP="2030048C" w14:textId="5DEC8FDB">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74391ED5" w14:textId="77777777" w:rsidTr="149E0DB4">
        <w:tblPrEx>
          <w:tblW w:w="0" w:type="auto"/>
          <w:tblLook w:val="04A0"/>
        </w:tblPrEx>
        <w:tc>
          <w:tcPr>
            <w:tcW w:w="3436" w:type="dxa"/>
          </w:tcPr>
          <w:p w:rsidR="00A92C9B" w:rsidRPr="00BF1022" w:rsidP="540725A5" w14:paraId="51457A78" w14:textId="77777777">
            <w:pPr>
              <w:rPr>
                <w:rFonts w:ascii="Arial" w:eastAsia="Arial" w:hAnsi="Arial" w:cs="Arial"/>
                <w:b w:val="0"/>
                <w:bCs w:val="0"/>
                <w:sz w:val="24"/>
                <w:szCs w:val="24"/>
              </w:rPr>
            </w:pPr>
            <w:r w:rsidRPr="540725A5">
              <w:rPr>
                <w:rFonts w:ascii="Arial" w:eastAsia="Arial" w:hAnsi="Arial" w:cs="Arial"/>
                <w:b w:val="0"/>
                <w:bCs w:val="0"/>
                <w:sz w:val="24"/>
                <w:szCs w:val="24"/>
              </w:rPr>
              <w:t>End Point Assessment Organisation(s)</w:t>
            </w:r>
            <w:r w:rsidRPr="540725A5">
              <w:rPr>
                <w:rFonts w:ascii="Arial" w:eastAsia="Arial" w:hAnsi="Arial" w:cs="Arial"/>
                <w:b w:val="0"/>
                <w:bCs w:val="0"/>
                <w:sz w:val="24"/>
                <w:szCs w:val="24"/>
              </w:rPr>
              <w:t>:</w:t>
            </w:r>
          </w:p>
        </w:tc>
        <w:tc>
          <w:tcPr>
            <w:tcW w:w="5580" w:type="dxa"/>
          </w:tcPr>
          <w:p w:rsidR="00A92C9B" w:rsidRPr="00E561A2" w:rsidP="540725A5" w14:paraId="7178258F" w14:textId="20828AEF">
            <w:pPr>
              <w:pStyle w:val="paragraph"/>
              <w:spacing w:before="0" w:beforeAutospacing="0" w:after="0" w:afterAutospacing="0"/>
              <w:textAlignment w:val="baseline"/>
              <w:rPr>
                <w:rFonts w:ascii="Arial" w:eastAsia="Arial" w:hAnsi="Arial" w:cs="Arial"/>
                <w:b w:val="0"/>
                <w:bCs w:val="0"/>
                <w:sz w:val="24"/>
                <w:szCs w:val="24"/>
              </w:rPr>
            </w:pPr>
            <w:r w:rsidRPr="2030048C">
              <w:rPr>
                <w:rStyle w:val="normaltextrun"/>
                <w:rFonts w:ascii="Arial" w:eastAsia="Arial" w:hAnsi="Arial" w:cs="Arial"/>
                <w:b w:val="0"/>
                <w:bCs w:val="0"/>
                <w:sz w:val="24"/>
                <w:szCs w:val="24"/>
                <w:lang w:val="en-GB"/>
              </w:rPr>
              <w:t>Kingston University</w:t>
            </w:r>
            <w:r w:rsidRPr="540725A5">
              <w:rPr>
                <w:rStyle w:val="eop"/>
                <w:rFonts w:ascii="Arial" w:eastAsia="Arial" w:hAnsi="Arial" w:cs="Arial"/>
                <w:b w:val="0"/>
                <w:bCs w:val="0"/>
                <w:sz w:val="24"/>
                <w:szCs w:val="24"/>
              </w:rPr>
              <w:t> </w:t>
            </w:r>
          </w:p>
          <w:p w:rsidR="00A92C9B" w:rsidRPr="00BF1022" w:rsidP="540725A5" w14:paraId="2945C23B" w14:textId="77777777">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in learners knowledge of retail that enables them to pursue a graduate level career in the sector</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prepare future retail leaders to develop the skills required to face the challenges of leading in a dynamic retail environment</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support learners to be critical thinkers, who can challenge and innovate</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support learners to successfully plan and execute a work-based project</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a passion in learners to work in the retail sector</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10"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1"/>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Explain and critically evaluate complex retail business environments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Use data to identify and solve unstructured business problems, and make evidence-based decisions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Implement current and emerging digital and technological solutions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Communicate an in-depth knowledge and understanding and of the key functional business areas within retail</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Use an enterprising mindset to create value across the organisation.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Identify business opportunities and make a difference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a detailed and critical understanding of how retail business elements interrelate and affect overall organisational performance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Interpret, analyse, evaluate and draw inferences from business information and other relevant information sources to aid decision making in the workplace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effectively in diverse environments, and with others and get things done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a critical awareness and understanding of current issues of global concern such as sustainability, ethics, social responsibility and technology and how these relate to contemporary retail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Use relevant critical or creative skills to deal with management problems and issues to produce recommendations for decision and subsequent action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Conduct and present themselves in a professional manner appropriate for the workplace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Retail Leadership Degree Apprenticeship is a four-year, fully funded programme that supports future retail leaders.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in the module canvas pages.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requirements are embedded as follows: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Navigate is embedded into BH4703 Retail Culture and Service Mindset.</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Explore is embedded into BH5703 Responsible and Sustainable Management.</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Apply module is delivered at Level 6.</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Retail Leadership Degree Apprenticeship</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Retail Leadership Degree Apprenticeship</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Digital Retail</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BB4411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Retail Business Environment</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BB4412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Retail Culture and Service Mindset</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BH4703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Retail Operations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BO4004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4 to level 5 with 90 credits at level 4 or above. The outstanding 30 credits from level 4 can be trailed into level 5 and must be passed before progression to level 6.</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Retail Leadership Degree Apprenticeship</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Managing Retail Finance and Value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BA5814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Responsible and Sustainable Management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BH5703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Retail Insights and Customer Information</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BM5705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Retail Marketing Strategy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BM5706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5 to level 6 with 90 credits at level 5 or above. The outstanding 30 credits from level 5 can be trailed into level 6 and must be passed before consideration for an award</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Retail Leadership Degree Apprenticeship</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End Point Assessment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BH6406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60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 &amp; TB3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Retail Leadership and Transformation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BH6405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Retail Strategy In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BH6403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The compulsory modules required for each learner to reach Gateway and for completion of the final module which is integrated into the EPA.</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jc w:val="both"/>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(including Learning Design Principles and Inclusive Curriculum); and Future Skills.</w:t>
      </w:r>
    </w:p>
    <w:p w:rsidRPr="2030048C" w:rsidP="2030048C">
      <w:pPr>
        <w:rPr>
          <w:rFonts w:ascii="Arial" w:eastAsia="Arial" w:hAnsi="Arial" w:cs="Arial"/>
          <w:sz w:val="24"/>
          <w:szCs w:val="24"/>
        </w:rPr>
      </w:pPr>
      <w:r w:rsidRPr="2030048C">
        <w:rPr>
          <w:rFonts w:ascii="Arial" w:eastAsia="Arial" w:hAnsi="Arial" w:cs="Arial"/>
          <w:sz w:val="24"/>
          <w:szCs w:val="24"/>
        </w:rPr>
        <w:t>Much of the learning and teaching on this programme is through project and problem-based activities.  This approach also allows co-construction with learners by encouraging and supporting them to grow from being “fed facts” to developing knowledge, understanding and critical skills through exploration of subjects that interest them.</w:t>
      </w:r>
    </w:p>
    <w:p w:rsidRPr="2030048C" w:rsidP="2030048C">
      <w:pPr>
        <w:rPr>
          <w:rFonts w:ascii="Arial" w:eastAsia="Arial" w:hAnsi="Arial" w:cs="Arial"/>
          <w:sz w:val="24"/>
          <w:szCs w:val="24"/>
        </w:rPr>
      </w:pPr>
      <w:r w:rsidRPr="2030048C">
        <w:rPr>
          <w:rFonts w:ascii="Arial" w:eastAsia="Arial" w:hAnsi="Arial" w:cs="Arial"/>
          <w:sz w:val="24"/>
          <w:szCs w:val="24"/>
        </w:rPr>
        <w:t>The industry-informed approach to teaching is further underpinned by the approach to assessment, which is, wherever possible, industry relevant and authentic – further preparing our future retail leaders for the tasks and challenges they are likely to face in the workplace. In addition to those currently in practice, and practice-based staff providing learners with connections to industry and the “real world”, research-active staff expose learners to the latest research developments.</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consists of Scheduled Learning and Teaching and Guided Independent Study (self-managed time).</w:t>
      </w:r>
    </w:p>
    <w:p w:rsidRPr="2030048C" w:rsidP="2030048C">
      <w:pPr>
        <w:rPr>
          <w:rFonts w:ascii="Arial" w:eastAsia="Arial" w:hAnsi="Arial" w:cs="Arial"/>
          <w:sz w:val="24"/>
          <w:szCs w:val="24"/>
        </w:rPr>
      </w:pPr>
      <w:r w:rsidRPr="2030048C">
        <w:rPr>
          <w:rFonts w:ascii="Arial" w:eastAsia="Arial" w:hAnsi="Arial" w:cs="Arial"/>
          <w:sz w:val="24"/>
          <w:szCs w:val="24"/>
        </w:rPr>
        <w:t>For this course teaching and learning is delivered online with a mix of synchronous and of synchronous and asynchronous learning in an 8 hour day where no more than 4 hours of synchronous online teaching is scheduled on each teaching day. The exception to this is the first teaching week of each academic year which is taught in person at Kingston Business School. </w:t>
      </w:r>
    </w:p>
    <w:p w:rsidRPr="2030048C" w:rsidP="2030048C">
      <w:pPr>
        <w:rPr>
          <w:rFonts w:ascii="Arial" w:eastAsia="Arial" w:hAnsi="Arial" w:cs="Arial"/>
          <w:sz w:val="24"/>
          <w:szCs w:val="24"/>
        </w:rPr>
      </w:pPr>
      <w:r w:rsidRPr="2030048C">
        <w:rPr>
          <w:rFonts w:ascii="Arial" w:eastAsia="Arial" w:hAnsi="Arial" w:cs="Arial"/>
          <w:sz w:val="24"/>
          <w:szCs w:val="24"/>
        </w:rPr>
        <w:t>Aligned to the apprenticeship standard, 90 credits are covered during each year of the apprenticeship, across a 4 year period. A model of one 30 credits per teaching block and three teaching blocks per year has been developed to deliver requirements of learners, employers, KU academic framework and the associated apprenticeship standard.</w:t>
      </w:r>
    </w:p>
    <w:p w:rsidRPr="2030048C" w:rsidP="2030048C">
      <w:pPr>
        <w:rPr>
          <w:rFonts w:ascii="Arial" w:eastAsia="Arial" w:hAnsi="Arial" w:cs="Arial"/>
          <w:sz w:val="24"/>
          <w:szCs w:val="24"/>
        </w:rPr>
      </w:pPr>
      <w:r w:rsidRPr="2030048C">
        <w:rPr>
          <w:rFonts w:ascii="Arial" w:eastAsia="Arial" w:hAnsi="Arial" w:cs="Arial"/>
          <w:sz w:val="24"/>
          <w:szCs w:val="24"/>
        </w:rPr>
        <w:t>Each delivery period represent the 20% ‘off the job’ component of the apprenticeship.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1"/>
          <w:szCs w:val="21"/>
        </w:rPr>
        <w:t>Students are supported through a range of services that provide academic and wider support. These include: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A Module Leader for each module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A Course Leader to help students understand the course structure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 xml:space="preserve">Apprenticeship Skills Coach - Tripartite review meetings held between apprentice learner, employer and university skills coach to review the learner’s progress and support needs.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Personal Tutors to provide academic and personal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Technical support to advise students on IT and the use of software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Student Voice Committee – to ensure the views of students are heard</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Canvas – Kingston University’s Virtual Learning Environment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Student support facilities that can provide advice on issues such as finance, regulations, legal matters, accommodation, international student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Disabled student support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The Kingston Students’ Union</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Student Development and Graduate Success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1"/>
          <w:szCs w:val="21"/>
        </w:rPr>
        <w:t>Student Wellbeing</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several methods for evaluating and improving the quality and standards of its provision. These include:</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Learner evaluation including Module Evaluation Questionnaires (MEQs) and the National Student Survey (NSS)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 of graded assignments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Feedback from employer.</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Apprenticeship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173"/>
        <w:gridCol w:w="246"/>
        <w:gridCol w:w="630"/>
        <w:gridCol w:w="630"/>
        <w:gridCol w:w="630"/>
        <w:gridCol w:w="638"/>
        <w:gridCol w:w="630"/>
        <w:gridCol w:w="647"/>
        <w:gridCol w:w="647"/>
        <w:gridCol w:w="630"/>
        <w:gridCol w:w="630"/>
        <w:gridCol w:w="630"/>
        <w:gridCol w:w="620"/>
        <w:gridCol w:w="629"/>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4"/>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4"/>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4"/>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BB4412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BH4703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BB4411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BO4004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BA5814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BM5706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BM5705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BH5703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BH6406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BH6405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AX6001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BH6403</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sz w:val="24"/>
          <w:szCs w:val="24"/>
        </w:rPr>
        <w:t>This course has one single entry point in September.</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fficeforstudents.org.uk/media/53821cbf-5779-4380-bf2a-aa8f5c53ecd4/sector-recognised-standards.pdf"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kingston.ac.uk?utm_source=chatgpt.co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