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BA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Social Work Integrated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01/02/2020</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13</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Education, Midwifery and Social Work</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Social Work and Social Care (CC0530)</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BA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Social Work Integrated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Certificate of Higher Education in Social Care</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Diploma of Higher Education in Social Care</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BA in Social Care</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UFSWK1SWK77</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 Kingston Hill, KT2 7LB</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pStyle w:val="p"/>
              <w:spacing w:before="0" w:after="0"/>
              <w:ind w:left="0" w:right="0"/>
              <w:rPr>
                <w:rStyle w:val="normaltextrun"/>
                <w:rFonts w:ascii="Times New Roman" w:eastAsia="Times New Roman" w:hAnsi="Times New Roman" w:cs="Times New Roman"/>
                <w:b w:val="0"/>
                <w:bCs w:val="0"/>
                <w:color w:val="000000"/>
                <w:sz w:val="24"/>
                <w:szCs w:val="24"/>
                <w:shd w:val="clear" w:color="auto" w:fill="FFFFFF"/>
              </w:rPr>
            </w:pPr>
            <w:r w:rsidRPr="2030048C">
              <w:rPr>
                <w:rStyle w:val="normaltextrun"/>
                <w:rFonts w:ascii="Arial Narrow" w:eastAsia="Arial Narrow" w:hAnsi="Arial Narrow" w:cs="Arial Narrow"/>
                <w:b w:val="0"/>
                <w:bCs w:val="0"/>
                <w:color w:val="000000"/>
                <w:sz w:val="24"/>
                <w:szCs w:val="24"/>
                <w:shd w:val="clear" w:color="auto" w:fill="FFFFFF"/>
              </w:rPr>
              <w:t xml:space="preserve">Social Work </w:t>
            </w:r>
            <w:r w:rsidRPr="2030048C">
              <w:rPr>
                <w:rStyle w:val="normaltextrun"/>
                <w:rFonts w:ascii="Arial Narrow" w:eastAsia="Arial Narrow" w:hAnsi="Arial Narrow" w:cs="Arial Narrow"/>
                <w:b w:val="0"/>
                <w:bCs w:val="0"/>
                <w:color w:val="000000"/>
                <w:sz w:val="24"/>
                <w:szCs w:val="24"/>
                <w:shd w:val="clear" w:color="auto" w:fill="FFFFFF"/>
              </w:rPr>
              <w:t>England, Social</w:t>
            </w:r>
            <w:r w:rsidRPr="2030048C">
              <w:rPr>
                <w:rStyle w:val="normaltextrun"/>
                <w:rFonts w:ascii="Arial Narrow" w:eastAsia="Arial Narrow" w:hAnsi="Arial Narrow" w:cs="Arial Narrow"/>
                <w:b w:val="0"/>
                <w:bCs w:val="0"/>
                <w:color w:val="000000"/>
                <w:sz w:val="24"/>
                <w:szCs w:val="24"/>
                <w:shd w:val="clear" w:color="auto" w:fill="FFFFFF"/>
              </w:rPr>
              <w:t xml:space="preserve"> Work England Professional Standards</w:t>
            </w:r>
          </w:p>
          <w:p w:rsidRPr="2030048C" w:rsidP="2030048C">
            <w:pPr>
              <w:pStyle w:val="p"/>
              <w:spacing w:before="0" w:after="0"/>
              <w:ind w:left="0" w:right="0"/>
              <w:rPr>
                <w:rStyle w:val="normaltextrun"/>
                <w:rFonts w:ascii="Times New Roman" w:eastAsia="Times New Roman" w:hAnsi="Times New Roman" w:cs="Times New Roman"/>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https://www.socialworkengland.org.uk/standards/professional-standards/</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 xml:space="preserve">The following variants from the UG regulations (AR2) have been approved and are in place for this course.  To access the regulations please click </w:t>
            </w:r>
            <w:hyperlink r:id="rId9" w:history="1">
              <w:r w:rsidRPr="158602C4">
                <w:rPr>
                  <w:rStyle w:val="normaltextrun"/>
                  <w:rFonts w:ascii="Arial" w:eastAsia="Arial" w:hAnsi="Arial" w:cs="Arial"/>
                  <w:b w:val="0"/>
                  <w:bCs w:val="0"/>
                  <w:color w:val="000000" w:themeColor="text1" w:themeShade="FF" w:themeTint="FF"/>
                  <w:sz w:val="22"/>
                  <w:szCs w:val="22"/>
                </w:rPr>
                <w:t>here</w:t>
              </w:r>
            </w:hyperlink>
            <w:r w:rsidRPr="158602C4">
              <w:rPr>
                <w:rStyle w:val="normaltextrun"/>
                <w:rFonts w:ascii="Arial" w:eastAsia="Arial" w:hAnsi="Arial" w:cs="Arial"/>
                <w:b w:val="0"/>
                <w:bCs w:val="0"/>
                <w:color w:val="000000" w:themeColor="text1" w:themeShade="FF" w:themeTint="FF"/>
                <w:sz w:val="22"/>
                <w:szCs w:val="22"/>
              </w:rPr>
              <w:t>.</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As the BA (Hons) Social Work Integrated Apprenticeship degree leads to professional registration with Social Work England the following is</w:t>
            </w:r>
            <w:r w:rsidRPr="158602C4">
              <w:rPr>
                <w:rStyle w:val="normaltextrun"/>
                <w:rFonts w:ascii="Arial" w:eastAsia="Arial" w:hAnsi="Arial" w:cs="Arial"/>
                <w:b w:val="0"/>
                <w:bCs w:val="0"/>
                <w:color w:val="000000" w:themeColor="text1" w:themeShade="FF" w:themeTint="FF"/>
                <w:sz w:val="24"/>
                <w:szCs w:val="24"/>
              </w:rPr>
              <w:t xml:space="preserve"> not available to the Programme Assessment Board.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award of BA (Hons) Social Work Integrated Apprenticeship degree by aegrotat</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final degree classification</w:t>
            </w:r>
            <w:r w:rsidRPr="158602C4">
              <w:rPr>
                <w:rStyle w:val="normaltextrun"/>
                <w:rFonts w:ascii="Arial" w:eastAsia="Arial" w:hAnsi="Arial" w:cs="Arial"/>
                <w:b w:val="0"/>
                <w:bCs w:val="0"/>
                <w:color w:val="000000" w:themeColor="text1" w:themeShade="FF" w:themeTint="FF"/>
                <w:sz w:val="24"/>
                <w:szCs w:val="24"/>
              </w:rPr>
              <w:t> </w:t>
            </w:r>
            <w:r w:rsidRPr="158602C4">
              <w:rPr>
                <w:rStyle w:val="normaltextrun"/>
                <w:rFonts w:ascii="Arial" w:eastAsia="Arial" w:hAnsi="Arial" w:cs="Arial"/>
                <w:b w:val="0"/>
                <w:bCs w:val="0"/>
                <w:color w:val="000000" w:themeColor="text1" w:themeShade="FF" w:themeTint="FF"/>
                <w:sz w:val="24"/>
                <w:szCs w:val="24"/>
              </w:rPr>
              <w:t>will be calculated on a weighted average of results from Levels 5 and 6 (year 2 and year 3) of the course.</w:t>
            </w:r>
            <w:r w:rsidRPr="158602C4">
              <w:rPr>
                <w:rStyle w:val="normaltextrun"/>
                <w:rFonts w:ascii="Arial" w:eastAsia="Arial" w:hAnsi="Arial" w:cs="Arial"/>
                <w:b w:val="0"/>
                <w:bCs w:val="0"/>
                <w:color w:val="000000" w:themeColor="text1" w:themeShade="FF" w:themeTint="FF"/>
                <w:sz w:val="24"/>
                <w:szCs w:val="24"/>
              </w:rPr>
              <w:t> </w:t>
            </w:r>
            <w:r w:rsidRPr="158602C4">
              <w:rPr>
                <w:rStyle w:val="normaltextrun"/>
                <w:rFonts w:ascii="Arial" w:eastAsia="Arial" w:hAnsi="Arial" w:cs="Arial"/>
                <w:b w:val="0"/>
                <w:bCs w:val="0"/>
                <w:color w:val="000000" w:themeColor="text1" w:themeShade="FF" w:themeTint="FF"/>
                <w:sz w:val="24"/>
                <w:szCs w:val="24"/>
              </w:rPr>
              <w:t xml:space="preserve"> Level 5</w:t>
            </w:r>
            <w:r w:rsidRPr="158602C4">
              <w:rPr>
                <w:rStyle w:val="normaltextrun"/>
                <w:rFonts w:ascii="Arial" w:eastAsia="Arial" w:hAnsi="Arial" w:cs="Arial"/>
                <w:b w:val="0"/>
                <w:bCs w:val="0"/>
                <w:color w:val="000000" w:themeColor="text1" w:themeShade="FF" w:themeTint="FF"/>
                <w:sz w:val="24"/>
                <w:szCs w:val="24"/>
              </w:rPr>
              <w:t> </w:t>
            </w:r>
            <w:r w:rsidRPr="158602C4">
              <w:rPr>
                <w:rStyle w:val="normaltextrun"/>
                <w:rFonts w:ascii="Arial" w:eastAsia="Arial" w:hAnsi="Arial" w:cs="Arial"/>
                <w:b w:val="0"/>
                <w:bCs w:val="0"/>
                <w:color w:val="000000" w:themeColor="text1" w:themeShade="FF" w:themeTint="FF"/>
                <w:sz w:val="24"/>
                <w:szCs w:val="24"/>
              </w:rPr>
              <w:t>will count</w:t>
            </w:r>
            <w:r w:rsidRPr="158602C4">
              <w:rPr>
                <w:rStyle w:val="normaltextrun"/>
                <w:rFonts w:ascii="Arial" w:eastAsia="Arial" w:hAnsi="Arial" w:cs="Arial"/>
                <w:b w:val="0"/>
                <w:bCs w:val="0"/>
                <w:color w:val="000000" w:themeColor="text1" w:themeShade="FF" w:themeTint="FF"/>
                <w:sz w:val="24"/>
                <w:szCs w:val="24"/>
              </w:rPr>
              <w:t> </w:t>
            </w:r>
            <w:r w:rsidRPr="158602C4">
              <w:rPr>
                <w:rStyle w:val="normaltextrun"/>
                <w:rFonts w:ascii="Arial" w:eastAsia="Arial" w:hAnsi="Arial" w:cs="Arial"/>
                <w:b w:val="0"/>
                <w:bCs w:val="0"/>
                <w:color w:val="000000" w:themeColor="text1" w:themeShade="FF" w:themeTint="FF"/>
                <w:sz w:val="24"/>
                <w:szCs w:val="24"/>
              </w:rPr>
              <w:t>for 20% of the final average and Level 6 for 80%.</w:t>
            </w:r>
            <w:r w:rsidRPr="158602C4">
              <w:rPr>
                <w:rStyle w:val="normaltextrun"/>
                <w:rFonts w:ascii="Arial" w:eastAsia="Arial" w:hAnsi="Arial" w:cs="Arial"/>
                <w:b w:val="0"/>
                <w:bCs w:val="0"/>
                <w:color w:val="000000" w:themeColor="text1" w:themeShade="FF" w:themeTint="FF"/>
                <w:sz w:val="24"/>
                <w:szCs w:val="24"/>
              </w:rPr>
              <w:t> </w:t>
            </w:r>
            <w:r w:rsidRPr="158602C4">
              <w:rPr>
                <w:rStyle w:val="normaltextrun"/>
                <w:rFonts w:ascii="Arial" w:eastAsia="Arial" w:hAnsi="Arial" w:cs="Arial"/>
                <w:b w:val="0"/>
                <w:bCs w:val="0"/>
                <w:color w:val="000000" w:themeColor="text1" w:themeShade="FF" w:themeTint="FF"/>
                <w:sz w:val="24"/>
                <w:szCs w:val="24"/>
              </w:rPr>
              <w:t>All assessments for o</w:t>
            </w:r>
            <w:r w:rsidRPr="158602C4">
              <w:rPr>
                <w:rStyle w:val="normaltextrun"/>
                <w:rFonts w:ascii="Arial" w:eastAsia="Arial" w:hAnsi="Arial" w:cs="Arial"/>
                <w:b w:val="0"/>
                <w:bCs w:val="0"/>
                <w:color w:val="000000" w:themeColor="text1" w:themeShade="FF" w:themeTint="FF"/>
                <w:sz w:val="24"/>
                <w:szCs w:val="24"/>
              </w:rPr>
              <w:t xml:space="preserve">n the job learning modules </w:t>
            </w:r>
            <w:r w:rsidRPr="158602C4">
              <w:rPr>
                <w:rStyle w:val="normaltextrun"/>
                <w:rFonts w:ascii="Arial" w:eastAsia="Arial" w:hAnsi="Arial" w:cs="Arial"/>
                <w:b w:val="0"/>
                <w:bCs w:val="0"/>
                <w:color w:val="000000" w:themeColor="text1" w:themeShade="FF" w:themeTint="FF"/>
                <w:sz w:val="24"/>
                <w:szCs w:val="24"/>
              </w:rPr>
              <w:t>SW50</w:t>
            </w:r>
            <w:r w:rsidRPr="158602C4">
              <w:rPr>
                <w:rStyle w:val="normaltextrun"/>
                <w:rFonts w:ascii="Arial" w:eastAsia="Arial" w:hAnsi="Arial" w:cs="Arial"/>
                <w:b w:val="0"/>
                <w:bCs w:val="0"/>
                <w:color w:val="000000" w:themeColor="text1" w:themeShade="FF" w:themeTint="FF"/>
                <w:sz w:val="24"/>
                <w:szCs w:val="24"/>
              </w:rPr>
              <w:t>13</w:t>
            </w:r>
            <w:r w:rsidRPr="158602C4">
              <w:rPr>
                <w:rStyle w:val="normaltextrun"/>
                <w:rFonts w:ascii="Arial" w:eastAsia="Arial" w:hAnsi="Arial" w:cs="Arial"/>
                <w:b w:val="0"/>
                <w:bCs w:val="0"/>
                <w:color w:val="000000" w:themeColor="text1" w:themeShade="FF" w:themeTint="FF"/>
                <w:sz w:val="24"/>
                <w:szCs w:val="24"/>
              </w:rPr>
              <w:t xml:space="preserve"> </w:t>
            </w:r>
            <w:r w:rsidRPr="158602C4">
              <w:rPr>
                <w:rStyle w:val="normaltextrun"/>
                <w:rFonts w:ascii="Arial" w:eastAsia="Arial" w:hAnsi="Arial" w:cs="Arial"/>
                <w:b w:val="0"/>
                <w:bCs w:val="0"/>
                <w:color w:val="000000" w:themeColor="text1" w:themeShade="FF" w:themeTint="FF"/>
                <w:sz w:val="24"/>
                <w:szCs w:val="24"/>
              </w:rPr>
              <w:t xml:space="preserve">and </w:t>
            </w:r>
            <w:r w:rsidRPr="158602C4">
              <w:rPr>
                <w:rStyle w:val="normaltextrun"/>
                <w:rFonts w:ascii="Arial" w:eastAsia="Arial" w:hAnsi="Arial" w:cs="Arial"/>
                <w:b w:val="0"/>
                <w:bCs w:val="0"/>
                <w:color w:val="000000" w:themeColor="text1" w:themeShade="FF" w:themeTint="FF"/>
                <w:sz w:val="24"/>
                <w:szCs w:val="24"/>
              </w:rPr>
              <w:t>SW</w:t>
            </w:r>
            <w:r w:rsidRPr="158602C4">
              <w:rPr>
                <w:rStyle w:val="normaltextrun"/>
                <w:rFonts w:ascii="Arial" w:eastAsia="Arial" w:hAnsi="Arial" w:cs="Arial"/>
                <w:b w:val="0"/>
                <w:bCs w:val="0"/>
                <w:color w:val="000000" w:themeColor="text1" w:themeShade="FF" w:themeTint="FF"/>
                <w:sz w:val="24"/>
                <w:szCs w:val="24"/>
              </w:rPr>
              <w:t>60</w:t>
            </w:r>
            <w:r w:rsidRPr="158602C4">
              <w:rPr>
                <w:rStyle w:val="normaltextrun"/>
                <w:rFonts w:ascii="Arial" w:eastAsia="Arial" w:hAnsi="Arial" w:cs="Arial"/>
                <w:b w:val="0"/>
                <w:bCs w:val="0"/>
                <w:color w:val="000000" w:themeColor="text1" w:themeShade="FF" w:themeTint="FF"/>
                <w:sz w:val="24"/>
                <w:szCs w:val="24"/>
              </w:rPr>
              <w:t>16</w:t>
            </w:r>
            <w:r w:rsidRPr="158602C4">
              <w:rPr>
                <w:rStyle w:val="normaltextrun"/>
                <w:rFonts w:ascii="Arial" w:eastAsia="Arial" w:hAnsi="Arial" w:cs="Arial"/>
                <w:b w:val="0"/>
                <w:bCs w:val="0"/>
                <w:color w:val="000000" w:themeColor="text1" w:themeShade="FF" w:themeTint="FF"/>
                <w:sz w:val="24"/>
                <w:szCs w:val="24"/>
              </w:rPr>
              <w:t> </w:t>
            </w:r>
            <w:r w:rsidRPr="158602C4">
              <w:rPr>
                <w:rStyle w:val="normaltextrun"/>
                <w:rFonts w:ascii="Arial" w:eastAsia="Arial" w:hAnsi="Arial" w:cs="Arial"/>
                <w:b w:val="0"/>
                <w:bCs w:val="0"/>
                <w:color w:val="000000" w:themeColor="text1" w:themeShade="FF" w:themeTint="FF"/>
                <w:sz w:val="24"/>
                <w:szCs w:val="24"/>
              </w:rPr>
              <w:t>are not graded but must be passed.</w:t>
            </w:r>
            <w:r w:rsidRPr="158602C4">
              <w:rPr>
                <w:rStyle w:val="normaltextrun"/>
                <w:rFonts w:ascii="Arial" w:eastAsia="Arial" w:hAnsi="Arial" w:cs="Arial"/>
                <w:b w:val="0"/>
                <w:bCs w:val="0"/>
                <w:color w:val="000000" w:themeColor="text1" w:themeShade="FF" w:themeTint="FF"/>
                <w:sz w:val="24"/>
                <w:szCs w:val="24"/>
              </w:rPr>
              <w:t xml:space="preserve">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following variants from the Academic Framework requirements have been approved and are in place for this course.  </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Delivery in TB3 is permitted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Integrated Degree Apprenticeship for Social Worker Standard https://www.instituteforapprenticeships.org/apprenticeship-standards/social-worker-degree/ https://www.instituteforapprenticeships.org/apprenticeship-standards/social-worker-degree/</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p w:rsidRPr="2030048C" w:rsidP="2030048C" w14:paraId="1F6642E3" w14:textId="5DEC8FDB">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Employers will recruit and employ candidates on full time Apprenticeship contracts. Employers will nominate apprentices to attend interviews at Kingston University for a place, and admission onto the programme. See Recruitment, Selection and Admission guide for details.</w:t>
            </w:r>
          </w:p>
          <w:p w:rsidR="00A92C9B" w:rsidRPr="00BF1022" w:rsidP="2030048C" w14:textId="5DEC8FDB">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Kingston University</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the degree apprenticeship are to enable the apprentices to:</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become confident, committed social workers who are able to work effectively within their organisation and provide a high-quality service to people with lived experience of social work;</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 reflective practitioners who can evaluate and analyse their practice, integrating research, law and policy, recognise and celebrate diversity whilst promoting fairness and challenging discrimination in order to develop their practice further;</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 active, confident, curious and self-motivated learners who are able to arrive at reasoned decisions that they are accountable for;</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have the capacity to develop strategies that will support and sustain them throughout their professional career;</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demonstrate the competencies, skills, knowledge and behaviours emerging from the apprenticeship programme in order to be recommended for registration with Social Work England;</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 ready to engage fully with the Assessed and Supported Year in Employment (ASYE) programme in their organisation.</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10"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1"/>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use different models of intervention to help identify and reflect upon practice based problems and consider how these can assist their resolution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develop a critical awareness of their own professional identity within contemporary social work and their own social work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their knowledge of the wide range of people’s needs across the lifespan to inform their practice and co-produce effective interventions with people with lived experience of social work</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find, analyse and synthesise ethical perspectives and integrate these to complex situations across different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evaluate the relationship between law, policy and ethics in order to offered reasoned arguments about the approaches they propose in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digital literacy in order to practice in a creative and effective way with people with lived experience of social work and other professionals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identify, define and evaluate theories relevant to social work practice and integrate these creatively into practice with people with lived experience of social work.</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identify and evaluate social work theories and begin to use their own research to consider current issues in social work</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evaluate appropriate models of intervention in complex situations to support assessment and decision making.</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find, analyse and synthesise information about law and policy and integrate these to complex situations across different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to identify, define and evaluate case studies which demonstrate the impact of research and policy on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a range of verbal and written communication and observational skills  to develop practise agility within social work settings, advocate for people with lived experience of social work  and present in professional and legal settings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are provided in module descriptors and apprentice module guides.</w:t>
      </w:r>
    </w:p>
    <w:p w:rsidRPr="2030048C" w:rsidP="2030048C">
      <w:pPr>
        <w:pStyle w:val="xx"/>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Professional expectations and standards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is a regulated professional course and it is expected that students demonstrate and maintain high levels of professionalism in their conduct, behaviours, attendance and response to support and advice.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attendance is required in line with the University’s Student Attendance and Engagement Policy (AP15). Where there is a cause for concern in relation to the student’s attendance, a progression plan will be created. If this does not lead to the required improvement in attendance, the student’s registration may be terminated in accordance with the University General Regulations 1: General Student Regulations (30-35).</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Other issues relating to professional conduct and behaviours will be considered in accordance with the appropriate University regulations and policies.</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BA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Social Work Integrated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BA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Social Work Integrated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4</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SW4017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Foundational skills and knowledge for practice: development across the lifespan</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SW4012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law, policy and ethics for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SW4013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Social Work Practice: On the job learning (Year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SW4014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 and 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Transitions into social work</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SW4011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5 requires 120 credits at level 4.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Apprentices exiting the course at this point who have successfully completed 120 credits at level 4 or above are eligible for the award of Certificate of Higher Education in Social Care.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BA (Hons)</w:t>
            </w:r>
            <w:r w:rsidRPr="2030048C">
              <w:rPr>
                <w:rFonts w:ascii="Arial" w:eastAsia="Arial" w:hAnsi="Arial" w:cs="Arial"/>
                <w:b/>
                <w:bCs/>
                <w:lang w:val="en-GB"/>
              </w:rPr>
              <w:t xml:space="preserve"> </w:t>
            </w:r>
            <w:r w:rsidRPr="2030048C">
              <w:rPr>
                <w:rFonts w:ascii="Arial" w:eastAsia="Arial" w:hAnsi="Arial" w:cs="Arial"/>
                <w:b/>
                <w:bCs/>
                <w:lang w:val="en-GB"/>
              </w:rPr>
              <w:t>Social Work Integrated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Building skills for social work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SW5011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5</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SW5017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Developing your social work practice: on the job learning (Year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SW5013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Inter-professional work and developing your professional identity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SW5010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ACYR</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Social work in action: rights and responsibilities in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SW5012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6 requires 240 credits: 120 at level 4 and 120 at level 5.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Apprentices exiting the programme at this point who have successfully completed 120 credits at level 5 (and 120 credits at level 4 modules) or above are eligible for the award of Diploma of Higher Education in Social Care.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BA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Social Work Integrated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Consolidation of knowledge and skills for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SW6012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1 and 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Developing Creative Approaches to working in Professional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SW6019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2 and 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Integrated approaches to practice: on the job learning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SW6016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1 and 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without completing the full 120 credits but have successfully completed 60 credits at level 6 or above are eligible for the award of an Ordinary Degree.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Apprentices who have:</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numPr>
          <w:ilvl w:val="0"/>
          <w:numId w:val="16"/>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completed and passed all 120 credits at level 4;</w:t>
      </w:r>
    </w:p>
    <w:p w:rsidR="6DF80A31" w:rsidRPr="2030048C" w:rsidP="2030048C">
      <w:pPr>
        <w:numPr>
          <w:ilvl w:val="0"/>
          <w:numId w:val="16"/>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completed and passed all 120 credits at level 5;</w:t>
      </w:r>
    </w:p>
    <w:p w:rsidR="6DF80A31" w:rsidRPr="2030048C" w:rsidP="2030048C">
      <w:pPr>
        <w:numPr>
          <w:ilvl w:val="0"/>
          <w:numId w:val="16"/>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completed and passes all 120 credits at level 6;</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will meet requirements for the BA (Hons) Social Work Integrated Degree Apprenticeship and are eligible for admission to Social Work England’s register of qualified social workers.</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Completion of the End Point Assessment requires 360 credits awarded by the assessment board and submission of the required documentation to Social Work England by the University.</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b/>
          <w:bCs/>
          <w:sz w:val="24"/>
          <w:szCs w:val="24"/>
        </w:rPr>
        <w:t>Learning and teaching </w:t>
      </w:r>
    </w:p>
    <w:p w:rsidRPr="2030048C" w:rsidP="2030048C">
      <w:pPr>
        <w:rPr>
          <w:rFonts w:ascii="Arial" w:eastAsia="Arial" w:hAnsi="Arial" w:cs="Arial"/>
          <w:sz w:val="24"/>
          <w:szCs w:val="24"/>
        </w:rPr>
      </w:pPr>
      <w:r w:rsidRPr="2030048C">
        <w:rPr>
          <w:rFonts w:ascii="Arial" w:eastAsia="Arial" w:hAnsi="Arial" w:cs="Arial"/>
          <w:sz w:val="24"/>
          <w:szCs w:val="24"/>
        </w:rPr>
        <w:t>The approach to learning at Kingston University is underpinned by a commitment to an inclusive curriculum where our aim is to ensure that all apprentices feel welcome and engaged in their learning. The course is designed to enable apprentices to see themselves in the curriculum and we value the diversity of background and experience that they will bring with them; this will underpin the approach we take to learning and teaching. The Kingston University Critical Thinking Skills Toolkit has been embedded throughout the programme to enable apprentices to develop their intellectual abilities in critique of and reflection upon the range of perspectives and approaches that they will encounter during their learning journey. Our aim is to support the apprentices to become thoughtful and reflexive practitioners.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This is an integrated degree apprenticeship providing a unique opportunity to enable a rich learning experience where apprentices’ learning occurs both in their work place and at the university. Apprentices will be learning on the job engaged in work based tasks for 80% of their time and spend a minimum of 20% engaged in off the job university led learning.  University led learning is offered in varied ways and is aimed at providing a curriculum that addresses the learning needs of all apprentices. In addition, a variety of practice integration tools will be available to enable apprentices to integrate their off the job learning to their practice experience during on the job work based learning.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strategies used to deliver the 20% off the job learning include the following: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observation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directed reading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taught sessions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peer group debate and presentations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practical teaching experiences – whole class and group work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active learning in the class-room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online learning using our Canvas our VLE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personalised mentoring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reflective writing </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co-production of assessment criteria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sz w:val="24"/>
          <w:szCs w:val="24"/>
        </w:rPr>
        <w:t>Assessment </w:t>
      </w:r>
    </w:p>
    <w:p w:rsidRPr="2030048C" w:rsidP="2030048C">
      <w:pPr>
        <w:rPr>
          <w:rFonts w:ascii="Arial" w:eastAsia="Arial" w:hAnsi="Arial" w:cs="Arial"/>
          <w:sz w:val="24"/>
          <w:szCs w:val="24"/>
        </w:rPr>
      </w:pPr>
      <w:r w:rsidRPr="2030048C">
        <w:rPr>
          <w:rFonts w:ascii="Arial" w:eastAsia="Arial" w:hAnsi="Arial" w:cs="Arial"/>
          <w:sz w:val="24"/>
          <w:szCs w:val="24"/>
        </w:rPr>
        <w:t>The assessment for this programme has been designed to develop apprentices’ academic ability and then to build their confidence as they progress through the programme. We use formative assessment to enable early feedback on their performance which the apprentices can feedforward to the summative assessment. Very early in the course, apprentices will undertake a low stakes summative assessment which will give us a clear indication of academic needs which we can then address from an early stage.  This iterative approach to assessment aims to support apprentices and promote their success as they progress through the programme. For example, at each level of study apprentices will undertake an assessed verbal presentation in order to develop their skills in oracy.</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varied range of assessments designed for this programme promotes experiential assessment of complex decisions making, working with ambiguity and the written, verbal and personal interaction skills required by social workers in both on the job and off the job settings. Assessments will cover presenting the self in public; justifying recommendations in formal settings, writing reports and case records as well as academic writing draw on different skills. The design of the assessments develops all of these skills so that apprentices use the knowledge and experience gained from both the university and workplace interchangeably. The assessments are designed to enable the apprentices to apply skills and knowledge they are developing during off the job learning to real issues and case studies from their on the job learning;   they seek to ensure that learning by the apprentices at the university is congruent with the demands of practice reality.</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assessment strategies employed on this programme include the following: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formative assessment with feedback and feedforward to the summative assessment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early low-stakes assessment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written tasks on professional-focused issues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self-reflective records of professional development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evidence of employment based practice tasks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evidence of informed reports on case studies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creative use of technology, for example vlogs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Viva presentations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group and individual presentations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sz w:val="24"/>
          <w:szCs w:val="24"/>
        </w:rPr>
        <w:t>On the Job training </w:t>
      </w:r>
    </w:p>
    <w:p w:rsidRPr="2030048C" w:rsidP="2030048C">
      <w:pPr>
        <w:rPr>
          <w:rFonts w:ascii="Arial" w:eastAsia="Arial" w:hAnsi="Arial" w:cs="Arial"/>
          <w:sz w:val="24"/>
          <w:szCs w:val="24"/>
        </w:rPr>
      </w:pPr>
      <w:r w:rsidRPr="2030048C">
        <w:rPr>
          <w:rFonts w:ascii="Arial" w:eastAsia="Arial" w:hAnsi="Arial" w:cs="Arial"/>
          <w:sz w:val="24"/>
          <w:szCs w:val="24"/>
        </w:rPr>
        <w:t>The BA (Hons) Social Work Integrated Degree Apprenticeship programme is rooted in a commitment to meet the learning needs of apprentices within collaborative adult learning models aligned to professional social work requirements. On the job learning arrangements are designed to prepare apprentices for frontline practice in social work by the provision of high quality learning opportunities. Learning is integrated across on the job learning and off the job learning at Kingston University. Learning is also assessed against the appropriate sector standards.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Apprentices are required to undertake a minimum of 200 days assessed on the job learning. This will involve: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on the job learning in their place of work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30 days of skills development over the whole course to help apprentice develop the skills required for qualified practice.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a 70 day contrasting learning experience in a setting which provides a different learning environment to apprentices’ usual place of work. This takes place during year 2.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a 100 day final placement requirement leading to meeting the gateway requirement which will enable apprentices to progress to the End Point Assessment  (EPA) – successful completion of the EPA means apprentices become a qualified social worker.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order to progress on to each stage (i.e., from level 4 to 5, level 5 to 6) it is a requirement that Apprentices successfully complete and pass the on the job training assessed work.  This will include a Viva at the end of each year which apprentices must pass to progress to the next level of study.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This is an integrated course which is designed to allow for apprentices’ learning and skills development during their on the job training to be drawn upon during the off the job learning. This is embedded into the teaching and learning strategies identified above and the assessments that are designed to enable apprentices to use both formative and summative assessment for learning.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sz w:val="24"/>
          <w:szCs w:val="24"/>
        </w:rPr>
        <w:t>People with lived experience of Social Work </w:t>
      </w:r>
    </w:p>
    <w:p w:rsidRPr="2030048C" w:rsidP="2030048C">
      <w:pPr>
        <w:rPr>
          <w:rFonts w:ascii="Arial" w:eastAsia="Arial" w:hAnsi="Arial" w:cs="Arial"/>
          <w:sz w:val="24"/>
          <w:szCs w:val="24"/>
        </w:rPr>
      </w:pPr>
      <w:r w:rsidRPr="2030048C">
        <w:rPr>
          <w:rFonts w:ascii="Arial" w:eastAsia="Arial" w:hAnsi="Arial" w:cs="Arial"/>
          <w:sz w:val="24"/>
          <w:szCs w:val="24"/>
        </w:rPr>
        <w:t>The Department of Social Work and Social Care has a well-established and long-standing group of people with lived experience of social work who co-produce, contribute to and deliver teaching sessions across all Social Work programmes in the Department. Their commitment also extends to the important role that they play in the quality assurance of our programmes and the key role that they play in recruitment and admissions. People with lived experience of social work have been involved in the co-production of the apprenticeship degree and it is planned that they will contribute to the teaching and learning activities, recruitment and quality assurance throughout the programme to ensure that their voices and experience are heard, incorporated effectively and enhance the delivery of the course.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b/>
          <w:bCs/>
          <w:sz w:val="24"/>
          <w:szCs w:val="24"/>
        </w:rPr>
        <w:t>Personalised Support </w:t>
      </w:r>
    </w:p>
    <w:p w:rsidRPr="2030048C" w:rsidP="2030048C">
      <w:pPr>
        <w:rPr>
          <w:rFonts w:ascii="Arial" w:eastAsia="Arial" w:hAnsi="Arial" w:cs="Arial"/>
          <w:sz w:val="24"/>
          <w:szCs w:val="24"/>
        </w:rPr>
      </w:pPr>
      <w:r w:rsidRPr="2030048C">
        <w:rPr>
          <w:rFonts w:ascii="Arial" w:eastAsia="Arial" w:hAnsi="Arial" w:cs="Arial"/>
          <w:sz w:val="24"/>
          <w:szCs w:val="24"/>
        </w:rPr>
        <w:t>Kingston University and its partners are committed to providing support to all apprentices in order to succeed. Personalised support is a feature of KU’s successful social work courses and is embedded in the design of this programme. The apprenticeship programme ensures regular and on-going personalised contact between social work personal tutors and apprentices. The apprentices engage in ongoing discussion focussing on their strengths and areas for development and setting and agreeing targets in their tripartite reviews to support their progress.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Apprentices benefit from continuous and regular supervision and formative feedback by experienced colleagues and tutors throughout the programme. While in the work place, Apprentices have one to one support from a work-based mentor (mentor) working in the agency and  a sub-regional assessor (SRA) to review and support the development of their professional practice against the Professional Capability Framework (working collaboratively with the apprentice and the mentor). Support is personalised, consistent and transparent, with regular reviews enabling the apprentice to make progress towards the final summative assessments.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To help ensure successful transitioning to study for all apprentices, Personal Tutors are allocated and meet apprentices during the induction period. Personal tutors will provide advice and guidance throughout the programme and encourage learner autonomy to prepare for their assessments.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summary, Social Work Apprentices are supported by: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a Course Leader to help apprentices understand the programme structure;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a Personal Tutor to provide academic and personal support;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Module Leaders who will guide their learning;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a Mentor who will support and guide their work-based learning;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a SRA will oversee the apprentice’s practice learning;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a designated programme administrator, contactable in the office or by email;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an induction programme at the beginning of each new academic year;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apprentice voice meetings;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Canvas, facilitating an online interactive learning environment;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The Academic Success Centre (FHSCE) to assist apprentices to become autonomous, confident and successful learners, alongside embedded skills development within the programme;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support services that provide advice on issues such as regulations;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The Kingston Union of Students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Kingston University services for students including: health and well-being, careers and employability and a dedicated student achievement officer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The Learning Resource Centre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 xml:space="preserve"> The University has several methods for evaluating and improving the quality and standards of its provision.  </w:t>
      </w:r>
      <w:r w:rsidRPr="2030048C">
        <w:rPr>
          <w:rFonts w:ascii="Arial" w:eastAsia="Arial" w:hAnsi="Arial" w:cs="Arial"/>
          <w:sz w:val="24"/>
          <w:szCs w:val="24"/>
        </w:rPr>
        <w:t>These include:</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External examiners</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Boards of study with apprentice representation</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Annual Monitoring and Enhancement</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Periodic review undertaken at subject level</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Apprentice evaluation including Module Evaluation Questionnaire (MEQs), level surveys and the National Student Survey (NSS)</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Moderation</w:t>
      </w:r>
      <w:r w:rsidRPr="2030048C">
        <w:rPr>
          <w:rFonts w:ascii="Arial" w:eastAsia="Arial" w:hAnsi="Arial" w:cs="Arial"/>
          <w:sz w:val="24"/>
          <w:szCs w:val="24"/>
        </w:rPr>
        <w:t xml:space="preserve"> policies</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Representation and feedback from employers</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 xml:space="preserve">Representation and feedback from people with lived experience of social work </w:t>
      </w:r>
    </w:p>
    <w:p w:rsidR="3D0EBCB8" w:rsidRPr="2030048C" w:rsidP="2030048C">
      <w:pPr>
        <w:numPr>
          <w:ilvl w:val="0"/>
          <w:numId w:val="28"/>
        </w:numPr>
        <w:ind w:left="720" w:right="0" w:hanging="360"/>
        <w:jc w:val="left"/>
        <w:rPr>
          <w:rFonts w:ascii="Arial" w:eastAsia="Arial" w:hAnsi="Arial" w:cs="Arial"/>
          <w:sz w:val="24"/>
          <w:szCs w:val="24"/>
        </w:rPr>
      </w:pPr>
      <w:r w:rsidRPr="2030048C">
        <w:rPr>
          <w:rFonts w:ascii="Arial" w:eastAsia="Arial" w:hAnsi="Arial" w:cs="Arial"/>
          <w:sz w:val="24"/>
          <w:szCs w:val="24"/>
        </w:rPr>
        <w:t>Social Work England quality assurance processes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062"/>
        <w:gridCol w:w="222"/>
        <w:gridCol w:w="594"/>
        <w:gridCol w:w="594"/>
        <w:gridCol w:w="594"/>
        <w:gridCol w:w="594"/>
        <w:gridCol w:w="594"/>
        <w:gridCol w:w="1"/>
        <w:gridCol w:w="593"/>
        <w:gridCol w:w="594"/>
        <w:gridCol w:w="594"/>
        <w:gridCol w:w="594"/>
        <w:gridCol w:w="594"/>
        <w:gridCol w:w="2"/>
        <w:gridCol w:w="592"/>
        <w:gridCol w:w="594"/>
        <w:gridCol w:w="598"/>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SW4014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SW4012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SW4013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SW4011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SW4017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SW5017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SW5013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SW5011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SW5010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SW5012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SW6016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SW6019</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SW6012</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0184B557" w:rsidP="2030048C" w14:paraId="0E005814"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multilevel"/>
    <w:tmpl w:val="74989B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4989B12"/>
    <w:multiLevelType w:val="hybridMultilevel"/>
    <w:tmpl w:val="74989B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4989B13"/>
    <w:multiLevelType w:val="hybridMultilevel"/>
    <w:tmpl w:val="74989B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74989B14"/>
    <w:multiLevelType w:val="hybridMultilevel"/>
    <w:tmpl w:val="74989B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74989B15"/>
    <w:multiLevelType w:val="hybridMultilevel"/>
    <w:tmpl w:val="74989B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74989B16"/>
    <w:multiLevelType w:val="hybridMultilevel"/>
    <w:tmpl w:val="74989B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74989B17"/>
    <w:multiLevelType w:val="hybridMultilevel"/>
    <w:tmpl w:val="74989B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p">
    <w:name w:val="p"/>
    <w:basedOn w:val="Normal"/>
  </w:style>
  <w:style w:type="paragraph" w:customStyle="1" w:styleId="xx">
    <w:name w:val="xx"/>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fficeforstudents.org.uk/media/53821cbf-5779-4380-bf2a-aa8f5c53ecd4/sector-recognised-standards.pdf%22"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kingston.ac.uk/about/governance/policies-and-regulations"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