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BSc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International Business</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23/07/2025</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04/09/2026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01/09/2026</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5</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Business and Social Sciences</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Kingston Business School</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Strategy, Marketing and Innovation (CC0033)</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SVKM’s NMIMS CIS (levels 4 and 5), Kingston University (level 6)</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International Business</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International Business</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Dip HE International Business</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BSc International Business</w:t>
            </w: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UFIBS1IBS21</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w:t>
            </w:r>
          </w:p>
        </w:tc>
      </w:tr>
    </w:tbl>
    <w:p w:rsidR="00928A20" w:rsidP="540725A5"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B" w14:textId="77777777" w:rsidTr="69A234E8">
        <w:tblPrEx>
          <w:tblW w:w="0" w:type="auto"/>
          <w:tblLook w:val="04A0"/>
        </w:tblPrEx>
        <w:tc>
          <w:tcPr>
            <w:tcW w:w="3186" w:type="dxa"/>
          </w:tcPr>
          <w:p w:rsidR="72431AC7" w:rsidP="5C72847F"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 xml:space="preserve"> International Business with Professional Placement</w:t>
            </w:r>
          </w:p>
          <w:p w:rsidR="72431AC7" w:rsidP="540725A5" w14:textId="77777777">
            <w:pPr>
              <w:rPr>
                <w:rFonts w:ascii="Arial" w:eastAsia="Arial" w:hAnsi="Arial" w:cs="Arial"/>
                <w:b w:val="0"/>
                <w:bCs w:val="0"/>
                <w:sz w:val="24"/>
                <w:szCs w:val="24"/>
              </w:rPr>
            </w:pPr>
          </w:p>
        </w:tc>
      </w:tr>
      <w:tr w14:paraId="34BB979C" w14:textId="77777777" w:rsidTr="69A234E8">
        <w:tblPrEx>
          <w:tblW w:w="0" w:type="auto"/>
          <w:tblLook w:val="04A0"/>
        </w:tblPrEx>
        <w:tc>
          <w:tcPr>
            <w:tcW w:w="3186" w:type="dxa"/>
          </w:tcPr>
          <w:p w:rsidR="72431AC7" w:rsidP="5C72847F"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International Business with Professional Placement</w:t>
            </w:r>
          </w:p>
          <w:p w:rsidR="72431AC7" w:rsidP="2030048C"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Dip HE International Business with Professional Placement</w:t>
            </w:r>
          </w:p>
          <w:p w:rsidR="72431AC7" w:rsidP="2030048C"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BSc International Business with Professional Placement with Professional Placement</w:t>
            </w:r>
            <w:r>
              <w:br/>
            </w:r>
          </w:p>
        </w:tc>
      </w:tr>
      <w:tr w14:paraId="2A120393" w14:textId="77777777" w:rsidTr="69A234E8">
        <w:tblPrEx>
          <w:tblW w:w="0" w:type="auto"/>
          <w:tblLook w:val="04A0"/>
        </w:tblPrEx>
        <w:tc>
          <w:tcPr>
            <w:tcW w:w="3186" w:type="dxa"/>
          </w:tcPr>
          <w:p w:rsidR="72431AC7"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USIBS1IBS45</w:t>
            </w:r>
          </w:p>
        </w:tc>
      </w:tr>
      <w:tr w14:paraId="78C565E9" w14:textId="77777777" w:rsidTr="69A234E8">
        <w:tblPrEx>
          <w:tblW w:w="0" w:type="auto"/>
          <w:tblLook w:val="04A0"/>
        </w:tblPrEx>
        <w:tc>
          <w:tcPr>
            <w:tcW w:w="3186" w:type="dxa"/>
          </w:tcPr>
          <w:p w:rsidR="00420254"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SVKM’s NMIMS CIS (levels 4 and 5), Kingston University (level 6)</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Level 4 and Level 5 in SVKM-NMIMS, Mumbai. Level 6 in Kingston Business School (KBS), Faculty of Business and Social Sciences, Kingston Hill</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Professional Placement</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Professional Placement</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4</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6</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Professional Placement</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7</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The minimum entry qualifications for the programme are: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From A levels: 100 UCAS Tariff Points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BTEC: DMM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Access Diploma: Pass Access course with a minimum of 48 credits at level 3 or above including 21 at Merit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Plus: Five GCSEs grade A – C, including Maths and English Language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Indian Qualifications: Standard XII: Higher Secondary School Certificate or Senior School Certificate Examination (CBSE, CISCE, Tamil Nadu, Maharashtra &amp; West Bengal boards) 60% marks AND 70% or above in "English Core", "Functional English", "Elective English"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Standard XII: Higher Secondary School Certificate or Senior School Certificate Examination (other state boards) 65% marks AND 70% or above in "English Core", "Functional English", "Elective English"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International Baccalaureate (IB/IBO) 100 points AND 5/7 or above in "English Core", "Functional English", "Elective English"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 minimum IELTS score of 6.0 TOEFL 80 or equivalent is required for those for whom English is not their first language or do not meet the above English Language requirement.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 </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Entry is at Level 4 with A-level or equivalent qualifications. Intake is normally in September. </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Association for the Advancement of Collegiate Schools of Business (AACSB) </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jc w:val="both"/>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 </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Equip students with a strong foundation in core business management principles elements</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students’ expertise in the principles and practice of global business, enabling them to respond to dynamic international business environments.</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graduates who are digitally competent, enterprising, ethically aware, and capable of addressing sustainability challenges.</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Ensure students develop the right skills and knowledge to meet the evolving demands of current and emerging industry needs and global concerns.</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Prepare students for graduate-level employment for business and management roles in all types of global organisations and sectors, further study, and lifelong learning embedding professional practice and industry engagement.</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Explain and critically evaluate complex global business environments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Use data to identify and solve unstructured business problems, and make evidence-based decisions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Implement current and emerging digital and technological solutions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Communicate an in-depth knowledge and understanding of the key functional areas of business and their interrelationships within an international and cross-cultural context.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an enterprising and questioning mindset to create sustainable value in global business contexts.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Identify and evaluate international business opportunities to create sustainable value and drive innovation across global markets.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a detailed and critical understanding of how global business functions and external environmental factors interrelate and influence organisational performance in international contexts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Interpret, analyse, and evaluate business information and other relevant sources to draw informed conclusions and make sound decisions in international contexts.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Work effectively in diverse and cross-cultural environments, demonstrating a questioning mindset, empathy, adaptability, and collaboration.</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a critical awareness and understanding of current issues of global concern such as sustainability, ethics and social responsibility and how these relate to contemporary business practice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Use relevant critical, creative or entrepreneurial skills to deal with global management problems and issues to produce recommendations for decision and subsequent action</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Conduct and present themselves in a professional manner appropriate for the global workplace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A5</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For students on the placement pathway only: Apply theoretical knowledge to develop practical insights into professional practices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This programme is offered in full-time mode. Students who study the first two years of the course in SVKM’s NMIMS CIS, Mumbai, take the final year at Kingston University. Full details of each module will be provided in module descriptors and in the module canvas pages.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Future Skills requirements are embedded as follows: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Navigate is embedded into BH4105 Organisations &amp; People</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Explore is embedded into BS5014 Global Innovation, Sustainability and Responsibility</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Future Skills Apply module is delivered at Level 6.</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Students can progress from one level to the next with 30 credits trailing but they must pass the failed credits before progressing to the next level. This includes progressing to the placement year.</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International Business</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International Business</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Data and Technology in Business [NMIMS]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BB4206</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Global Business Environments [NMIMS]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BB4207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Marketing and Sales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BM4800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Organisations &amp; People</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BH4105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course at this point who have successfully completed 120 credits at level 4 or above are eligible for the award of Certificate of Higher Education in International Business. </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International Business</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Accounting &amp; Financial Management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BA5812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Global Innovation, Sustainability and Responsibility</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BS5014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Managing Across Cultures and Borders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BM5015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ED519C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1FC664C" w14:textId="03C15C9E">
            <w:pPr>
              <w:rPr>
                <w:rFonts w:ascii="Arial" w:eastAsia="Arial" w:hAnsi="Arial" w:cs="Arial"/>
                <w:sz w:val="24"/>
                <w:szCs w:val="24"/>
              </w:rPr>
            </w:pPr>
            <w:r w:rsidRPr="7AD52F4D" w:rsidR="06A3B627">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A2434B1" w14:textId="0EA4E7AA">
            <w:pPr>
              <w:jc w:val="center"/>
              <w:rPr>
                <w:rFonts w:ascii="Arial" w:eastAsia="Arial" w:hAnsi="Arial" w:cs="Arial"/>
                <w:sz w:val="24"/>
                <w:szCs w:val="24"/>
              </w:rPr>
            </w:pP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6C534" w14:textId="783B089B">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D46A005" w14:textId="49262EB7">
            <w:pPr>
              <w:jc w:val="center"/>
              <w:rPr>
                <w:rFonts w:ascii="Arial" w:eastAsia="Arial" w:hAnsi="Arial" w:cs="Arial"/>
                <w:sz w:val="24"/>
                <w:szCs w:val="24"/>
              </w:rPr>
            </w:pP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DB59B4E" w14:textId="44FA361C">
            <w:pPr>
              <w:jc w:val="center"/>
              <w:rPr>
                <w:rFonts w:ascii="Arial" w:eastAsia="Arial" w:hAnsi="Arial" w:cs="Arial"/>
                <w:sz w:val="24"/>
                <w:szCs w:val="24"/>
              </w:rPr>
            </w:pP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7BECB" w14:textId="151C3355">
            <w:pPr>
              <w:jc w:val="center"/>
              <w:rPr>
                <w:rFonts w:ascii="Arial" w:eastAsia="Arial" w:hAnsi="Arial" w:cs="Arial"/>
                <w:sz w:val="24"/>
                <w:szCs w:val="24"/>
              </w:rPr>
            </w:pP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144984E" w14:textId="7C66223A">
            <w:pPr>
              <w:jc w:val="center"/>
              <w:rPr>
                <w:rFonts w:ascii="Arial" w:eastAsia="Arial" w:hAnsi="Arial" w:cs="Arial"/>
                <w:sz w:val="24"/>
                <w:szCs w:val="24"/>
              </w:rPr>
            </w:pP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5847AB7" w14:textId="72CBD8C5">
            <w:pPr>
              <w:jc w:val="center"/>
              <w:rPr>
                <w:rFonts w:ascii="Arial" w:eastAsia="Arial" w:hAnsi="Arial" w:cs="Arial"/>
                <w:sz w:val="24"/>
                <w:szCs w:val="24"/>
              </w:rPr>
            </w:pPr>
          </w:p>
        </w:tc>
      </w:tr>
      <w:tr w14:paraId="5D7D13A1"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B1728E1" w14:textId="0EF531FA">
            <w:pPr>
              <w:rPr>
                <w:rFonts w:ascii="Arial" w:eastAsia="Arial" w:hAnsi="Arial" w:cs="Arial"/>
                <w:sz w:val="24"/>
                <w:szCs w:val="24"/>
                <w:lang w:val="en-GB"/>
              </w:rPr>
            </w:pPr>
            <w:r w:rsidRPr="2030048C" w:rsidR="073AEBF5">
              <w:rPr>
                <w:rFonts w:ascii="Arial" w:eastAsia="Arial" w:hAnsi="Arial" w:cs="Arial"/>
                <w:sz w:val="24"/>
                <w:szCs w:val="24"/>
                <w:lang w:val="en-GB"/>
              </w:rPr>
              <w:t>Business Analytics and Digital Intelligence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CF6C762"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BB5005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CFEC962"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B2F918E"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8E3ACBA"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AD489F6"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BBE4BE"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7BB90B" w14:textId="31F07BCA">
            <w:pPr>
              <w:jc w:val="center"/>
              <w:rPr>
                <w:rFonts w:ascii="Arial" w:eastAsia="Arial" w:hAnsi="Arial" w:cs="Arial"/>
                <w:sz w:val="24"/>
                <w:szCs w:val="24"/>
              </w:rPr>
            </w:pPr>
          </w:p>
        </w:tc>
      </w:tr>
      <w:tr w14:paraId="5D7D13A2"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Contemporary Project Management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BB5109</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at level 5 or above are eligible for the award of Diploma of Higher Education in International Business.  </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International Business</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AI for Business &amp; Innovation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BS6002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Building Business Strategy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BS6206</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Future Skills Apply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AX6001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5"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International Operations Management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BS6010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6"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International Trade and Markets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BS6009</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without completing the full 120 credits but have successfully completed 60 credits at level 6 or above are eligible for the award of an BSc International Business.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transitioning from L5 (SVKM’s NMIMS CIS) to L6 (KU), who encounter delays in the Tier 4 visa application process, will be accommodated as much as possible via the late enrolment opportunities at KU (Oct). The last date of L6 enrolment in each year is normally the Monday of the third week of teaching on a course. Any further delays are expected to negatively impact student learning experience, as such students will be directed to request for Interruption of their studies and resume in the next academic year. Students will need to apply using the online system in OSIS. Further information and instruction are available on the University’s Website.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Where an interruption of study is agreed with the Course Leader at KU, the interrupted year will count towards the maximum period of registration on the course and the student can normally only request two consecutive interruptions.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Where students have received a final decision and cannot get a Tier 4 student visa to come to UK for their L6, they will be withdrawn from the course and the subsequent board will make a decision on the qualifying interim exit award.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undertaking the 4-year programme are expected to join a work placement module of minimum 36 weeks duration (including any leaves) and a maximum of 12 months (depending on the Tier 4 visa end date). The employment will normally be on a full-time basis. The Faculty must approve the placement prior to commencement to ensure its suitability. The deadline for placement approval is mid-September. All placements are expected to finish by the course end date. In addition to the modules at Level 4, Level 5 and Level 6, students will complete a professional placement in Year 4.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w:t>
      </w:r>
    </w:p>
    <w:p w:rsidR="6DF80A31"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Successful completion of the Work Placement module is required for the award of the professional placement credits. If a student does not secure a placement or does not complete the placement, they will automatically be transferred to the without placement route. </w:t>
      </w:r>
    </w:p>
    <w:p w:rsidR="66934EB1" w:rsidP="2030048C" w14:textId="25B67DE5">
      <w:pPr>
        <w:rPr>
          <w:rFonts w:ascii="Arial" w:eastAsia="Arial" w:hAnsi="Arial" w:cs="Arial"/>
          <w:color w:val="000000" w:themeColor="text1"/>
          <w:sz w:val="24"/>
          <w:szCs w:val="24"/>
          <w:lang w:val="en-GB"/>
        </w:rPr>
      </w:pPr>
    </w:p>
    <w:p w:rsidR="66934EB1" w:rsidRPr="00D92363" w:rsidP="66934EB1" w14:textId="01ADAC37">
      <w:pPr>
        <w:rPr>
          <w:rFonts w:ascii="Arial" w:eastAsia="Arial" w:hAnsi="Arial" w:cs="Arial"/>
          <w:color w:val="FF0000"/>
        </w:rPr>
      </w:pPr>
    </w:p>
    <w:p w:rsidR="66934EB1" w:rsidP="2030048C"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 xml:space="preserve"> International Business with Professional Placement</w:t>
      </w:r>
    </w:p>
    <w:p w:rsidR="008B5CAF" w:rsidRPr="008B5CAF" w:rsidP="008B5CAF" w14:textId="77777777">
      <w:pPr>
        <w:rPr>
          <w:rFonts w:eastAsia="Arial"/>
        </w:rPr>
      </w:pPr>
    </w:p>
    <w:p w:rsidR="035B6837" w:rsidP="2030048C"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4"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9"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 xml:space="preserve"> International Business with Professional Placement</w:t>
            </w:r>
          </w:p>
        </w:tc>
      </w:tr>
      <w:tr w14:paraId="7FFB693E"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7"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Work Placement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BH6031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120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Year Long</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bl>
    <w:p w:rsidR="66934EB1" w:rsidP="5C72847F"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textId="1812B43E">
      <w:pPr>
        <w:rPr>
          <w:rFonts w:ascii="Arial" w:eastAsia="Arial" w:hAnsi="Arial" w:cs="Arial"/>
          <w:color w:val="0070C0"/>
          <w:sz w:val="24"/>
          <w:szCs w:val="24"/>
        </w:rPr>
      </w:pPr>
    </w:p>
    <w:p w:rsidR="6DF80A31" w:rsidRPr="2030048C" w:rsidP="2030048C"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Successful completion of the Work Placement module is required for the award of the professional placement credits. If a student does not secure a placement or does not complete the placement, they will automatically be transferred to the without placement route. </w:t>
      </w:r>
    </w:p>
    <w:p w:rsidR="66934EB1" w:rsidP="2030048C" w14:textId="25B67DE5">
      <w:pPr>
        <w:rPr>
          <w:rFonts w:ascii="Arial" w:eastAsia="Arial" w:hAnsi="Arial" w:cs="Arial"/>
          <w:color w:val="000000" w:themeColor="text1"/>
          <w:sz w:val="24"/>
          <w:szCs w:val="24"/>
          <w:lang w:val="en-GB"/>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(inclusion Learning Design Principles and Inclusive Curriculum); and Future Skills.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consist of Scheduled Learning and Teaching and Guided Independent Study (self-managed time). Scheduled Learning and Teaching includes the following, and the format for each module is set out in the module specification: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Laboratory Sessions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Lectures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Seminars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Tutorials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Workshops </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Placements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Guidance for students on the use of independent study time is communicated through the ‘Succeed in your module’ section on the Canvas Virtual Learning Environment and through other communications during the course.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addition to the core Scheduled Learning and Teaching activities for the course, the University may offer students additional optional opportunities for learning.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 </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Students on L4 and L5 are supported at SVKM-NMIMS by: </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Local Module leader for each module </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Course Co-ordinator to help students understand the programme structure </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Programme administrator </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Personal Tutors </w:t>
      </w:r>
    </w:p>
    <w:p w:rsidRPr="2030048C" w:rsidP="2030048C">
      <w:pPr>
        <w:numPr>
          <w:ilvl w:val="0"/>
          <w:numId w:val="20"/>
        </w:numPr>
        <w:ind w:left="720" w:hanging="360"/>
        <w:jc w:val="left"/>
        <w:rPr>
          <w:rFonts w:ascii="Arial" w:eastAsia="Arial" w:hAnsi="Arial" w:cs="Arial"/>
          <w:sz w:val="24"/>
          <w:szCs w:val="24"/>
        </w:rPr>
      </w:pPr>
      <w:r w:rsidRPr="2030048C">
        <w:rPr>
          <w:rFonts w:ascii="Arial" w:eastAsia="Arial" w:hAnsi="Arial" w:cs="Arial"/>
          <w:sz w:val="24"/>
          <w:szCs w:val="24"/>
        </w:rPr>
        <w:t>Careers Team  </w:t>
      </w:r>
    </w:p>
    <w:p w:rsidRPr="2030048C" w:rsidP="2030048C">
      <w:pPr>
        <w:numPr>
          <w:ilvl w:val="0"/>
          <w:numId w:val="21"/>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 </w:t>
      </w:r>
    </w:p>
    <w:p w:rsidRPr="2030048C" w:rsidP="2030048C">
      <w:pPr>
        <w:numPr>
          <w:ilvl w:val="0"/>
          <w:numId w:val="22"/>
        </w:numPr>
        <w:ind w:left="720" w:hanging="360"/>
        <w:jc w:val="left"/>
        <w:rPr>
          <w:rFonts w:ascii="Arial" w:eastAsia="Arial" w:hAnsi="Arial" w:cs="Arial"/>
          <w:sz w:val="24"/>
          <w:szCs w:val="24"/>
        </w:rPr>
      </w:pPr>
      <w:r w:rsidRPr="2030048C">
        <w:rPr>
          <w:rFonts w:ascii="Arial" w:eastAsia="Arial" w:hAnsi="Arial" w:cs="Arial"/>
          <w:sz w:val="24"/>
          <w:szCs w:val="24"/>
        </w:rPr>
        <w:t>An induction welcome week at the start of the programme at L4  </w:t>
      </w:r>
    </w:p>
    <w:p w:rsidRPr="2030048C" w:rsidP="2030048C">
      <w:pPr>
        <w:numPr>
          <w:ilvl w:val="0"/>
          <w:numId w:val="23"/>
        </w:numPr>
        <w:ind w:left="720" w:hanging="360"/>
        <w:jc w:val="left"/>
        <w:rPr>
          <w:rFonts w:ascii="Arial" w:eastAsia="Arial" w:hAnsi="Arial" w:cs="Arial"/>
          <w:sz w:val="24"/>
          <w:szCs w:val="24"/>
        </w:rPr>
      </w:pPr>
      <w:r w:rsidRPr="2030048C">
        <w:rPr>
          <w:rFonts w:ascii="Arial" w:eastAsia="Arial" w:hAnsi="Arial" w:cs="Arial"/>
          <w:sz w:val="24"/>
          <w:szCs w:val="24"/>
        </w:rPr>
        <w:t>Ongoing re-induction sessions at L5 </w:t>
      </w:r>
    </w:p>
    <w:p w:rsidRPr="2030048C" w:rsidP="2030048C">
      <w:pPr>
        <w:numPr>
          <w:ilvl w:val="0"/>
          <w:numId w:val="24"/>
        </w:numPr>
        <w:ind w:left="720" w:hanging="360"/>
        <w:jc w:val="left"/>
        <w:rPr>
          <w:rFonts w:ascii="Arial" w:eastAsia="Arial" w:hAnsi="Arial" w:cs="Arial"/>
          <w:sz w:val="24"/>
          <w:szCs w:val="24"/>
        </w:rPr>
      </w:pPr>
      <w:r w:rsidRPr="2030048C">
        <w:rPr>
          <w:rFonts w:ascii="Arial" w:eastAsia="Arial" w:hAnsi="Arial" w:cs="Arial"/>
          <w:sz w:val="24"/>
          <w:szCs w:val="24"/>
        </w:rPr>
        <w:t>Student Voice Committee and Course Representatives  </w:t>
      </w:r>
    </w:p>
    <w:p w:rsidRPr="2030048C" w:rsidP="2030048C">
      <w:pPr>
        <w:numPr>
          <w:ilvl w:val="0"/>
          <w:numId w:val="25"/>
        </w:numPr>
        <w:ind w:left="720" w:hanging="360"/>
        <w:jc w:val="left"/>
        <w:rPr>
          <w:rFonts w:ascii="Arial" w:eastAsia="Arial" w:hAnsi="Arial" w:cs="Arial"/>
          <w:sz w:val="24"/>
          <w:szCs w:val="24"/>
        </w:rPr>
      </w:pPr>
      <w:r w:rsidRPr="2030048C">
        <w:rPr>
          <w:rFonts w:ascii="Arial" w:eastAsia="Arial" w:hAnsi="Arial" w:cs="Arial"/>
          <w:sz w:val="24"/>
          <w:szCs w:val="24"/>
        </w:rPr>
        <w:t>Canvas – a versatile on-line interactive intranet and learning environment </w:t>
      </w:r>
    </w:p>
    <w:p w:rsidRPr="2030048C" w:rsidP="2030048C">
      <w:pPr>
        <w:numPr>
          <w:ilvl w:val="0"/>
          <w:numId w:val="26"/>
        </w:numPr>
        <w:ind w:left="720" w:hanging="360"/>
        <w:jc w:val="left"/>
        <w:rPr>
          <w:rFonts w:ascii="Arial" w:eastAsia="Arial" w:hAnsi="Arial" w:cs="Arial"/>
          <w:sz w:val="24"/>
          <w:szCs w:val="24"/>
        </w:rPr>
      </w:pPr>
      <w:r w:rsidRPr="2030048C">
        <w:rPr>
          <w:rFonts w:ascii="Arial" w:eastAsia="Arial" w:hAnsi="Arial" w:cs="Arial"/>
          <w:sz w:val="24"/>
          <w:szCs w:val="24"/>
        </w:rPr>
        <w:t>Disabled student support </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Students on L6 are supported through a range of services that provide academic and wider support at KU. These include: </w:t>
      </w:r>
    </w:p>
    <w:p w:rsidRPr="2030048C" w:rsidP="2030048C">
      <w:pPr>
        <w:numPr>
          <w:ilvl w:val="0"/>
          <w:numId w:val="27"/>
        </w:numPr>
        <w:ind w:left="720" w:hanging="360"/>
        <w:jc w:val="left"/>
        <w:rPr>
          <w:rFonts w:ascii="Arial" w:eastAsia="Arial" w:hAnsi="Arial" w:cs="Arial"/>
          <w:sz w:val="24"/>
          <w:szCs w:val="24"/>
        </w:rPr>
      </w:pPr>
      <w:r w:rsidRPr="2030048C">
        <w:rPr>
          <w:rFonts w:ascii="Arial" w:eastAsia="Arial" w:hAnsi="Arial" w:cs="Arial"/>
          <w:sz w:val="24"/>
          <w:szCs w:val="24"/>
        </w:rPr>
        <w:t>A Module Leader for each module </w:t>
      </w:r>
    </w:p>
    <w:p w:rsidRPr="2030048C" w:rsidP="2030048C">
      <w:pPr>
        <w:numPr>
          <w:ilvl w:val="0"/>
          <w:numId w:val="28"/>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course structure </w:t>
      </w:r>
    </w:p>
    <w:p w:rsidRPr="2030048C" w:rsidP="2030048C">
      <w:pPr>
        <w:numPr>
          <w:ilvl w:val="0"/>
          <w:numId w:val="29"/>
        </w:numPr>
        <w:ind w:left="720" w:hanging="360"/>
        <w:jc w:val="left"/>
        <w:rPr>
          <w:rFonts w:ascii="Arial" w:eastAsia="Arial" w:hAnsi="Arial" w:cs="Arial"/>
          <w:sz w:val="24"/>
          <w:szCs w:val="24"/>
        </w:rPr>
      </w:pPr>
      <w:r w:rsidRPr="2030048C">
        <w:rPr>
          <w:rFonts w:ascii="Arial" w:eastAsia="Arial" w:hAnsi="Arial" w:cs="Arial"/>
          <w:sz w:val="24"/>
          <w:szCs w:val="24"/>
        </w:rPr>
        <w:t>Designated programme administrator in UG admin office </w:t>
      </w:r>
    </w:p>
    <w:p w:rsidRPr="2030048C" w:rsidP="2030048C">
      <w:pPr>
        <w:numPr>
          <w:ilvl w:val="0"/>
          <w:numId w:val="30"/>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 </w:t>
      </w:r>
    </w:p>
    <w:p w:rsidRPr="2030048C" w:rsidP="2030048C">
      <w:pPr>
        <w:numPr>
          <w:ilvl w:val="0"/>
          <w:numId w:val="31"/>
        </w:numPr>
        <w:ind w:left="720" w:hanging="360"/>
        <w:jc w:val="left"/>
        <w:rPr>
          <w:rFonts w:ascii="Arial" w:eastAsia="Arial" w:hAnsi="Arial" w:cs="Arial"/>
          <w:sz w:val="24"/>
          <w:szCs w:val="24"/>
        </w:rPr>
      </w:pPr>
      <w:r w:rsidRPr="2030048C">
        <w:rPr>
          <w:rFonts w:ascii="Arial" w:eastAsia="Arial" w:hAnsi="Arial" w:cs="Arial"/>
          <w:sz w:val="24"/>
          <w:szCs w:val="24"/>
        </w:rPr>
        <w:t>An induction welcome week at the start of L6 </w:t>
      </w:r>
    </w:p>
    <w:p w:rsidRPr="2030048C" w:rsidP="2030048C">
      <w:pPr>
        <w:numPr>
          <w:ilvl w:val="0"/>
          <w:numId w:val="32"/>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 </w:t>
      </w:r>
    </w:p>
    <w:p w:rsidRPr="2030048C" w:rsidP="2030048C">
      <w:pPr>
        <w:numPr>
          <w:ilvl w:val="0"/>
          <w:numId w:val="33"/>
        </w:numPr>
        <w:ind w:left="720" w:hanging="360"/>
        <w:jc w:val="left"/>
        <w:rPr>
          <w:rFonts w:ascii="Arial" w:eastAsia="Arial" w:hAnsi="Arial" w:cs="Arial"/>
          <w:sz w:val="24"/>
          <w:szCs w:val="24"/>
        </w:rPr>
      </w:pPr>
      <w:r w:rsidRPr="2030048C">
        <w:rPr>
          <w:rFonts w:ascii="Arial" w:eastAsia="Arial" w:hAnsi="Arial" w:cs="Arial"/>
          <w:sz w:val="24"/>
          <w:szCs w:val="24"/>
        </w:rPr>
        <w:t>Student Voice Committee – to ensure the views of students are heard </w:t>
      </w:r>
    </w:p>
    <w:p w:rsidRPr="2030048C" w:rsidP="2030048C">
      <w:pPr>
        <w:numPr>
          <w:ilvl w:val="0"/>
          <w:numId w:val="34"/>
        </w:numPr>
        <w:ind w:left="720" w:hanging="360"/>
        <w:jc w:val="left"/>
        <w:rPr>
          <w:rFonts w:ascii="Arial" w:eastAsia="Arial" w:hAnsi="Arial" w:cs="Arial"/>
          <w:sz w:val="24"/>
          <w:szCs w:val="24"/>
        </w:rPr>
      </w:pPr>
      <w:r w:rsidRPr="2030048C">
        <w:rPr>
          <w:rFonts w:ascii="Arial" w:eastAsia="Arial" w:hAnsi="Arial" w:cs="Arial"/>
          <w:sz w:val="24"/>
          <w:szCs w:val="24"/>
        </w:rPr>
        <w:t>Canvas – Kingston University’s Virtual Learning Environment </w:t>
      </w:r>
    </w:p>
    <w:p w:rsidRPr="2030048C" w:rsidP="2030048C">
      <w:pPr>
        <w:numPr>
          <w:ilvl w:val="0"/>
          <w:numId w:val="35"/>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can provide advice on issues such as finance, regulations, legal matters, accommodation, international student support </w:t>
      </w:r>
    </w:p>
    <w:p w:rsidRPr="2030048C" w:rsidP="2030048C">
      <w:pPr>
        <w:numPr>
          <w:ilvl w:val="0"/>
          <w:numId w:val="36"/>
        </w:numPr>
        <w:ind w:left="720" w:hanging="360"/>
        <w:jc w:val="left"/>
        <w:rPr>
          <w:rFonts w:ascii="Arial" w:eastAsia="Arial" w:hAnsi="Arial" w:cs="Arial"/>
          <w:sz w:val="24"/>
          <w:szCs w:val="24"/>
        </w:rPr>
      </w:pPr>
      <w:r w:rsidRPr="2030048C">
        <w:rPr>
          <w:rFonts w:ascii="Arial" w:eastAsia="Arial" w:hAnsi="Arial" w:cs="Arial"/>
          <w:sz w:val="24"/>
          <w:szCs w:val="24"/>
        </w:rPr>
        <w:t>Disabled student support </w:t>
      </w:r>
    </w:p>
    <w:p w:rsidRPr="2030048C" w:rsidP="2030048C">
      <w:pPr>
        <w:numPr>
          <w:ilvl w:val="0"/>
          <w:numId w:val="37"/>
        </w:numPr>
        <w:ind w:left="720" w:hanging="360"/>
        <w:jc w:val="left"/>
        <w:rPr>
          <w:rFonts w:ascii="Arial" w:eastAsia="Arial" w:hAnsi="Arial" w:cs="Arial"/>
          <w:sz w:val="24"/>
          <w:szCs w:val="24"/>
        </w:rPr>
      </w:pPr>
      <w:r w:rsidRPr="2030048C">
        <w:rPr>
          <w:rFonts w:ascii="Arial" w:eastAsia="Arial" w:hAnsi="Arial" w:cs="Arial"/>
          <w:sz w:val="24"/>
          <w:szCs w:val="24"/>
        </w:rPr>
        <w:t>The Kingston Students’ Union </w:t>
      </w:r>
    </w:p>
    <w:p w:rsidRPr="2030048C" w:rsidP="2030048C">
      <w:pPr>
        <w:numPr>
          <w:ilvl w:val="0"/>
          <w:numId w:val="38"/>
        </w:numPr>
        <w:ind w:left="720" w:hanging="360"/>
        <w:jc w:val="left"/>
        <w:rPr>
          <w:rFonts w:ascii="Arial" w:eastAsia="Arial" w:hAnsi="Arial" w:cs="Arial"/>
          <w:sz w:val="24"/>
          <w:szCs w:val="24"/>
        </w:rPr>
      </w:pPr>
      <w:r w:rsidRPr="2030048C">
        <w:rPr>
          <w:rFonts w:ascii="Arial" w:eastAsia="Arial" w:hAnsi="Arial" w:cs="Arial"/>
          <w:sz w:val="24"/>
          <w:szCs w:val="24"/>
        </w:rPr>
        <w:t>Student Development and Graduate Success </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policies and procedures for evaluating and improving the quality and standards of its provision. These include: </w:t>
      </w:r>
    </w:p>
    <w:p w:rsidR="3D0EBCB8" w:rsidRPr="2030048C" w:rsidP="2030048C">
      <w:pPr>
        <w:numPr>
          <w:ilvl w:val="0"/>
          <w:numId w:val="39"/>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 </w:t>
      </w:r>
    </w:p>
    <w:p w:rsidR="3D0EBCB8" w:rsidRPr="2030048C" w:rsidP="2030048C">
      <w:pPr>
        <w:numPr>
          <w:ilvl w:val="0"/>
          <w:numId w:val="40"/>
        </w:numPr>
        <w:ind w:left="720" w:hanging="360"/>
        <w:jc w:val="left"/>
        <w:rPr>
          <w:rFonts w:ascii="Arial" w:eastAsia="Arial" w:hAnsi="Arial" w:cs="Arial"/>
          <w:sz w:val="24"/>
          <w:szCs w:val="24"/>
        </w:rPr>
      </w:pPr>
      <w:r w:rsidRPr="2030048C">
        <w:rPr>
          <w:rFonts w:ascii="Arial" w:eastAsia="Arial" w:hAnsi="Arial" w:cs="Arial"/>
          <w:sz w:val="24"/>
          <w:szCs w:val="24"/>
        </w:rPr>
        <w:t>External examiners </w:t>
      </w:r>
    </w:p>
    <w:p w:rsidR="3D0EBCB8" w:rsidRPr="2030048C" w:rsidP="2030048C">
      <w:pPr>
        <w:numPr>
          <w:ilvl w:val="0"/>
          <w:numId w:val="41"/>
        </w:numPr>
        <w:ind w:left="720" w:hanging="360"/>
        <w:jc w:val="left"/>
        <w:rPr>
          <w:rFonts w:ascii="Arial" w:eastAsia="Arial" w:hAnsi="Arial" w:cs="Arial"/>
          <w:sz w:val="24"/>
          <w:szCs w:val="24"/>
        </w:rPr>
      </w:pPr>
      <w:r w:rsidRPr="2030048C">
        <w:rPr>
          <w:rFonts w:ascii="Arial" w:eastAsia="Arial" w:hAnsi="Arial" w:cs="Arial"/>
          <w:sz w:val="24"/>
          <w:szCs w:val="24"/>
        </w:rPr>
        <w:t>Periodic Substantive Review </w:t>
      </w:r>
    </w:p>
    <w:p w:rsidR="3D0EBCB8" w:rsidRPr="2030048C" w:rsidP="2030048C">
      <w:pPr>
        <w:numPr>
          <w:ilvl w:val="0"/>
          <w:numId w:val="42"/>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Informal feedback mechanisms such as Early Module Review (EMR) </w:t>
      </w:r>
    </w:p>
    <w:p w:rsidR="3D0EBCB8" w:rsidRPr="2030048C" w:rsidP="2030048C">
      <w:pPr>
        <w:numPr>
          <w:ilvl w:val="0"/>
          <w:numId w:val="43"/>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 of graded assignments </w:t>
      </w:r>
    </w:p>
    <w:p w:rsidR="3D0EBCB8" w:rsidRPr="2030048C" w:rsidP="2030048C">
      <w:pPr>
        <w:numPr>
          <w:ilvl w:val="0"/>
          <w:numId w:val="44"/>
        </w:numPr>
        <w:ind w:left="720" w:hanging="360"/>
        <w:jc w:val="left"/>
        <w:rPr>
          <w:rFonts w:ascii="Arial" w:eastAsia="Arial" w:hAnsi="Arial" w:cs="Arial"/>
          <w:sz w:val="24"/>
          <w:szCs w:val="24"/>
        </w:rPr>
      </w:pPr>
      <w:r w:rsidRPr="2030048C">
        <w:rPr>
          <w:rFonts w:ascii="Arial" w:eastAsia="Arial" w:hAnsi="Arial" w:cs="Arial"/>
          <w:sz w:val="24"/>
          <w:szCs w:val="24"/>
        </w:rPr>
        <w:t>Institutional governance structures designed to escalate issues that cannot be solved locally. </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w:t>
      </w:r>
    </w:p>
    <w:p w:rsidRPr="2030048C" w:rsidP="2030048C">
      <w:pPr>
        <w:rPr>
          <w:rFonts w:ascii="Arial" w:eastAsia="Arial" w:hAnsi="Arial" w:cs="Arial"/>
          <w:sz w:val="24"/>
          <w:szCs w:val="24"/>
        </w:rPr>
      </w:pPr>
      <w:r w:rsidRPr="2030048C">
        <w:rPr>
          <w:rFonts w:ascii="Arial" w:eastAsia="Arial" w:hAnsi="Arial" w:cs="Arial"/>
          <w:sz w:val="24"/>
          <w:szCs w:val="24"/>
        </w:rPr>
        <w:t>QAA Subject benchmarks - Business and Management</w:t>
      </w:r>
    </w:p>
    <w:p w:rsidRPr="2030048C" w:rsidP="2030048C">
      <w:pPr>
        <w:rPr>
          <w:rFonts w:ascii="Arial" w:eastAsia="Arial" w:hAnsi="Arial" w:cs="Arial"/>
          <w:sz w:val="24"/>
          <w:szCs w:val="24"/>
        </w:rPr>
      </w:pPr>
      <w:r w:rsidRPr="2030048C">
        <w:rPr>
          <w:rFonts w:ascii="Arial" w:eastAsia="Arial" w:hAnsi="Arial" w:cs="Arial"/>
          <w:sz w:val="24"/>
          <w:szCs w:val="24"/>
        </w:rPr>
        <w:t> </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1103"/>
        <w:gridCol w:w="231"/>
        <w:gridCol w:w="592"/>
        <w:gridCol w:w="608"/>
        <w:gridCol w:w="592"/>
        <w:gridCol w:w="592"/>
        <w:gridCol w:w="583"/>
        <w:gridCol w:w="592"/>
        <w:gridCol w:w="608"/>
        <w:gridCol w:w="1"/>
        <w:gridCol w:w="582"/>
        <w:gridCol w:w="583"/>
        <w:gridCol w:w="583"/>
        <w:gridCol w:w="583"/>
        <w:gridCol w:w="583"/>
        <w:gridCol w:w="594"/>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4"/>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7"/>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BH4105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BM4800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BB4206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BB4207</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BS5014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BA5812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BM5015</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BS6009</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BS6010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BS6002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BS6206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AX6001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BH6031</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bl>
    <w:p w:rsidR="00CE2BD2"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sz w:val="24"/>
          <w:szCs w:val="24"/>
        </w:rPr>
        <w:t>Only one intake point - September</w:t>
      </w:r>
    </w:p>
    <w:p w:rsidRPr="2030048C" w:rsidP="2030048C">
      <w:pPr>
        <w:rPr>
          <w:rFonts w:ascii="Arial" w:eastAsia="Arial" w:hAnsi="Arial" w:cs="Arial"/>
          <w:sz w:val="24"/>
          <w:szCs w:val="24"/>
        </w:rPr>
      </w:pPr>
      <w:r w:rsidRPr="2030048C">
        <w:rPr>
          <w:rFonts w:ascii="Arial" w:eastAsia="Arial" w:hAnsi="Arial" w:cs="Arial"/>
          <w:sz w:val="24"/>
          <w:szCs w:val="24"/>
        </w:rPr>
        <w:t> </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74989B0E"/>
    <w:multiLevelType w:val="hybridMultilevel"/>
    <w:tmpl w:val="74989B0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74989B0F"/>
    <w:multiLevelType w:val="hybridMultilevel"/>
    <w:tmpl w:val="74989B0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74989B10"/>
    <w:multiLevelType w:val="hybridMultilevel"/>
    <w:tmpl w:val="74989B1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74989B11"/>
    <w:multiLevelType w:val="hybridMultilevel"/>
    <w:tmpl w:val="74989B1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74989B12"/>
    <w:multiLevelType w:val="hybridMultilevel"/>
    <w:tmpl w:val="74989B1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74989B13"/>
    <w:multiLevelType w:val="hybridMultilevel"/>
    <w:tmpl w:val="74989B1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74989B14"/>
    <w:multiLevelType w:val="hybridMultilevel"/>
    <w:tmpl w:val="74989B1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74989B15"/>
    <w:multiLevelType w:val="hybridMultilevel"/>
    <w:tmpl w:val="74989B1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74989B16"/>
    <w:multiLevelType w:val="hybridMultilevel"/>
    <w:tmpl w:val="74989B1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74989B17"/>
    <w:multiLevelType w:val="hybridMultilevel"/>
    <w:tmpl w:val="74989B1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74989B18"/>
    <w:multiLevelType w:val="hybridMultilevel"/>
    <w:tmpl w:val="74989B1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74989B19"/>
    <w:multiLevelType w:val="hybridMultilevel"/>
    <w:tmpl w:val="74989B1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74989B1A"/>
    <w:multiLevelType w:val="hybridMultilevel"/>
    <w:tmpl w:val="74989B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74989B1B"/>
    <w:multiLevelType w:val="hybridMultilevel"/>
    <w:tmpl w:val="74989B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74989B1C"/>
    <w:multiLevelType w:val="hybridMultilevel"/>
    <w:tmpl w:val="74989B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4">
    <w:nsid w:val="74989B1D"/>
    <w:multiLevelType w:val="hybridMultilevel"/>
    <w:tmpl w:val="74989B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5">
    <w:nsid w:val="74989B1E"/>
    <w:multiLevelType w:val="hybridMultilevel"/>
    <w:tmpl w:val="74989B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6">
    <w:nsid w:val="74989B1F"/>
    <w:multiLevelType w:val="hybridMultilevel"/>
    <w:tmpl w:val="74989B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7">
    <w:nsid w:val="74989B20"/>
    <w:multiLevelType w:val="hybridMultilevel"/>
    <w:tmpl w:val="74989B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8">
    <w:nsid w:val="74989B21"/>
    <w:multiLevelType w:val="hybridMultilevel"/>
    <w:tmpl w:val="74989B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9">
    <w:nsid w:val="74989B22"/>
    <w:multiLevelType w:val="hybridMultilevel"/>
    <w:tmpl w:val="74989B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0">
    <w:nsid w:val="74989B23"/>
    <w:multiLevelType w:val="hybridMultilevel"/>
    <w:tmpl w:val="74989B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1">
    <w:nsid w:val="74989B24"/>
    <w:multiLevelType w:val="hybridMultilevel"/>
    <w:tmpl w:val="74989B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2">
    <w:nsid w:val="74989B25"/>
    <w:multiLevelType w:val="hybridMultilevel"/>
    <w:tmpl w:val="74989B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3">
    <w:nsid w:val="74989B26"/>
    <w:multiLevelType w:val="hybridMultilevel"/>
    <w:tmpl w:val="74989B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