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Foundation Year</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in Science (Biosciences)</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11/10/2024</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6</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Health, Science, Social Care &amp; Education</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Life Sciences, Pharmacy and Chemistry</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Department of Chemical &amp; Pharmaceutical Sciences (CC0007)</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Kingston University</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Foundation Year</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in Science (Biosciences)</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p>
          <w:p w:rsidR="72431AC7" w:rsidP="2030048C" w14:paraId="3E314738" w14:textId="6100E87F">
            <w:pPr>
              <w:rPr>
                <w:rFonts w:ascii="Arial" w:eastAsia="Arial" w:hAnsi="Arial" w:cs="Arial"/>
                <w:b w:val="0"/>
                <w:bCs w:val="0"/>
                <w:sz w:val="24"/>
                <w:szCs w:val="24"/>
                <w:lang w:val="en-GB"/>
              </w:rPr>
            </w:pPr>
          </w:p>
          <w:p w:rsidR="72431AC7" w:rsidP="2030048C" w14:paraId="7ABC1166" w14:textId="7E0F963D">
            <w:pPr>
              <w:rPr>
                <w:rFonts w:ascii="Arial" w:eastAsia="Arial" w:hAnsi="Arial" w:cs="Arial"/>
                <w:b w:val="0"/>
                <w:bCs w:val="0"/>
                <w:sz w:val="24"/>
                <w:szCs w:val="24"/>
                <w:lang w:val="en-GB"/>
              </w:rPr>
            </w:pP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N/A</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p>
        </w:tc>
      </w:tr>
    </w:tbl>
    <w:p w:rsidR="00928A20" w:rsidP="540725A5"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B" w14:textId="77777777" w:rsidTr="69A234E8">
        <w:tblPrEx>
          <w:tblW w:w="0" w:type="auto"/>
          <w:tblLook w:val="04A0"/>
        </w:tblPrEx>
        <w:tc>
          <w:tcPr>
            <w:tcW w:w="3186" w:type="dxa"/>
          </w:tcPr>
          <w:p w:rsidR="72431AC7" w:rsidP="5C72847F"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Foundation Year</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in Science (Sports Sciences)</w:t>
            </w:r>
          </w:p>
          <w:p w:rsidR="72431AC7" w:rsidP="540725A5" w14:textId="77777777">
            <w:pPr>
              <w:rPr>
                <w:rFonts w:ascii="Arial" w:eastAsia="Arial" w:hAnsi="Arial" w:cs="Arial"/>
                <w:b w:val="0"/>
                <w:bCs w:val="0"/>
                <w:sz w:val="24"/>
                <w:szCs w:val="24"/>
              </w:rPr>
            </w:pPr>
          </w:p>
        </w:tc>
      </w:tr>
      <w:tr w14:paraId="34BB979C" w14:textId="77777777" w:rsidTr="69A234E8">
        <w:tblPrEx>
          <w:tblW w:w="0" w:type="auto"/>
          <w:tblLook w:val="04A0"/>
        </w:tblPrEx>
        <w:tc>
          <w:tcPr>
            <w:tcW w:w="3186" w:type="dxa"/>
          </w:tcPr>
          <w:p w:rsidR="72431AC7" w:rsidP="5C72847F"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textId="7F194330">
            <w:pPr>
              <w:rPr>
                <w:rFonts w:ascii="Arial" w:eastAsia="Arial" w:hAnsi="Arial" w:cs="Arial"/>
                <w:b w:val="0"/>
                <w:bCs w:val="0"/>
                <w:sz w:val="24"/>
                <w:szCs w:val="24"/>
                <w:lang w:val="en-GB"/>
              </w:rPr>
            </w:pPr>
          </w:p>
          <w:p w:rsidR="72431AC7" w:rsidP="2030048C" w14:textId="6100E87F">
            <w:pPr>
              <w:rPr>
                <w:rFonts w:ascii="Arial" w:eastAsia="Arial" w:hAnsi="Arial" w:cs="Arial"/>
                <w:b w:val="0"/>
                <w:bCs w:val="0"/>
                <w:sz w:val="24"/>
                <w:szCs w:val="24"/>
                <w:lang w:val="en-GB"/>
              </w:rPr>
            </w:pPr>
          </w:p>
          <w:p w:rsidR="72431AC7" w:rsidP="2030048C" w14:textId="7E0F963D">
            <w:pPr>
              <w:rPr>
                <w:rFonts w:ascii="Arial" w:eastAsia="Arial" w:hAnsi="Arial" w:cs="Arial"/>
                <w:b w:val="0"/>
                <w:bCs w:val="0"/>
                <w:sz w:val="24"/>
                <w:szCs w:val="24"/>
                <w:lang w:val="en-GB"/>
              </w:rPr>
            </w:pPr>
            <w:r>
              <w:br/>
            </w:r>
          </w:p>
        </w:tc>
      </w:tr>
      <w:tr w14:paraId="2A120393" w14:textId="77777777" w:rsidTr="69A234E8">
        <w:tblPrEx>
          <w:tblW w:w="0" w:type="auto"/>
          <w:tblLook w:val="04A0"/>
        </w:tblPrEx>
        <w:tc>
          <w:tcPr>
            <w:tcW w:w="3186" w:type="dxa"/>
          </w:tcPr>
          <w:p w:rsidR="72431AC7"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N/A</w:t>
            </w:r>
          </w:p>
        </w:tc>
      </w:tr>
      <w:tr w14:paraId="78C565E9" w14:textId="77777777" w:rsidTr="69A234E8">
        <w:tblPrEx>
          <w:tblW w:w="0" w:type="auto"/>
          <w:tblLook w:val="04A0"/>
        </w:tblPrEx>
        <w:tc>
          <w:tcPr>
            <w:tcW w:w="3186" w:type="dxa"/>
          </w:tcPr>
          <w:p w:rsidR="00420254"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textId="5E5181C9">
            <w:pPr>
              <w:rPr>
                <w:rFonts w:ascii="Arial" w:eastAsia="Arial" w:hAnsi="Arial" w:cs="Arial"/>
                <w:b w:val="0"/>
                <w:bCs w:val="0"/>
                <w:sz w:val="24"/>
                <w:szCs w:val="24"/>
                <w:lang w:val="en-GB"/>
              </w:rPr>
            </w:pP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Penrhyn Road</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1</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2</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University typically uses a range of entry requirements to assess an applicant's suitability for our courses. Most course requirements are based on UCAS Tariff points, usually stipulated as a range, and are sometimes coupled with minimum grades in specific relevant subjects. We may also use interview, portfolio and performance pieces to assess an applicant's suitability for the course. We recognise that every person's journey to Higher Education is different and unique and in some cases we may take into account work experience and other non-standard pathways onto University level study.</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Additionally, all non-UK applicants must meet our English language requirements.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Please see our course pages on the Kingston University website for the most up to date entry requirements</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n/a</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792E11A3" w:rsidP="158602C4" w14:paraId="155FC85F"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No</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Foundation year forms part of a range of extended degree programmes within the School of Life Sciences, Pharmacy &amp; Chemistry.  The aims and intended learning outcomes for the remainder of such degrees can be found in the relevant programme specification.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aims of the course are:-   </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promote accessibility, diversity, and inclusion by providing students from varied educational background, who may not possess traditional qualifications, an opportunity to progress to Level 4 of their chosen degree. </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cultivate self-efficacy in students so they become independent, self-reflective learners and develop the resilience to be successful in their academic pursuits </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provide students with the knowledge and understanding of the key areas of Biology and Chemistry or Sport &amp; Exercise Science, that underpins further study on their intended degree routes. </w:t>
      </w:r>
    </w:p>
    <w:p w:rsidRPr="2030048C" w:rsidP="2030048C">
      <w:pPr>
        <w:pStyle w:val="ListParagraph"/>
        <w:numPr>
          <w:ilvl w:val="0"/>
          <w:numId w:val="15"/>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develop subject-related practical skills. </w:t>
      </w:r>
    </w:p>
    <w:p w:rsidRPr="2030048C" w:rsidP="2030048C">
      <w:pPr>
        <w:pStyle w:val="ListParagraph"/>
        <w:numPr>
          <w:ilvl w:val="0"/>
          <w:numId w:val="16"/>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develop the students’ ability to interrelate and apply knowledge, skills and understanding gained from the Foundation year to the solution of basic problems. </w:t>
      </w:r>
    </w:p>
    <w:p w:rsidRPr="2030048C" w:rsidP="2030048C">
      <w:pPr>
        <w:pStyle w:val="ListParagraph"/>
        <w:numPr>
          <w:ilvl w:val="0"/>
          <w:numId w:val="17"/>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equip students with essential digital literacy skills that are critical for success in the modern scientific landscape. </w:t>
      </w:r>
    </w:p>
    <w:p w:rsidRPr="2030048C" w:rsidP="2030048C">
      <w:pPr>
        <w:pStyle w:val="ListParagraph"/>
        <w:numPr>
          <w:ilvl w:val="0"/>
          <w:numId w:val="18"/>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equip students with the tools to become effective communicators in both written and oral form.  </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9"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Pr="2030048C" w:rsidP="2030048C">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To be eligible to progress from the Foundation Year (Level 3) to Level 4 of the degree programme, students must successfully pass all modules at Level 3, achieving a total of 120 credits. Trailing failed modules is not permitted.</w:t>
      </w:r>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0"/>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a knowledge and understanding in the core areas of the chosen subject discipline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the ability to be independent and reflective learner</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Carry out subject-specific practical work in accordance to defined protocols and appropriate Health and Safety regulations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a knowledge of practical techniques used within the subject disciplines and understand the basis for their use.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Analyse and appraise information from a variety of primary and secondary sources, including AI</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Use a range of instrumentation applicable to the subject of study and exhibit competence in their use.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an understanding of the Scientific method and how research is undertaken, taking account of ethical and sustainable considerations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critical thinking to solve problems in the subject disciplines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the ability to work effectively as part of a group and team.</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Understand and explain the need to comply with Health and Safety regulations relevant to the subject discipline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Assess and select the appropriate analysis tools and digital skills to tackle contextualised problems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Communicate ideas and findings using a variety of communication techniques and platforms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F"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B5</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the ability to evaluate and interpret data generated through investigational techniques.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This forms the Level 3 Foundation Year for the following degree subjects: </w:t>
      </w:r>
    </w:p>
    <w:p w:rsidRPr="2030048C" w:rsidP="2030048C">
      <w:pPr>
        <w:numPr>
          <w:ilvl w:val="0"/>
          <w:numId w:val="20"/>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BSc (Hons) Biochemistry  </w:t>
      </w:r>
    </w:p>
    <w:p w:rsidRPr="2030048C" w:rsidP="2030048C">
      <w:pPr>
        <w:numPr>
          <w:ilvl w:val="0"/>
          <w:numId w:val="21"/>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BSc (Hons) Biological Sciences  </w:t>
      </w:r>
    </w:p>
    <w:p w:rsidRPr="2030048C" w:rsidP="2030048C">
      <w:pPr>
        <w:numPr>
          <w:ilvl w:val="0"/>
          <w:numId w:val="22"/>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BSc (Hons) Biomedical Science  </w:t>
      </w:r>
    </w:p>
    <w:p w:rsidRPr="2030048C" w:rsidP="2030048C">
      <w:pPr>
        <w:numPr>
          <w:ilvl w:val="0"/>
          <w:numId w:val="2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BSc (Hons) Chemistry  </w:t>
      </w:r>
    </w:p>
    <w:p w:rsidRPr="2030048C" w:rsidP="2030048C">
      <w:pPr>
        <w:numPr>
          <w:ilvl w:val="0"/>
          <w:numId w:val="2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BSc (Hons) Forensic Science  </w:t>
      </w:r>
    </w:p>
    <w:p w:rsidRPr="2030048C" w:rsidP="2030048C">
      <w:pPr>
        <w:numPr>
          <w:ilvl w:val="0"/>
          <w:numId w:val="2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BSc (Hons) Pharmaceutical Science  </w:t>
      </w:r>
    </w:p>
    <w:p w:rsidRPr="2030048C" w:rsidP="2030048C">
      <w:pPr>
        <w:numPr>
          <w:ilvl w:val="0"/>
          <w:numId w:val="26"/>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BSc (Hons) Pharmacology </w:t>
      </w:r>
    </w:p>
    <w:p w:rsidRPr="2030048C" w:rsidP="2030048C">
      <w:pPr>
        <w:numPr>
          <w:ilvl w:val="0"/>
          <w:numId w:val="2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BSc (Hons) Sport &amp; Exercise Science  </w:t>
      </w:r>
    </w:p>
    <w:p w:rsidRPr="2030048C" w:rsidP="2030048C">
      <w:pPr>
        <w:numPr>
          <w:ilvl w:val="0"/>
          <w:numId w:val="28"/>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BSc (Hons) Sport &amp; Exercise Science (Coaching) </w:t>
      </w:r>
    </w:p>
    <w:p w:rsidRPr="2030048C" w:rsidP="2030048C">
      <w:pPr>
        <w:numPr>
          <w:ilvl w:val="0"/>
          <w:numId w:val="2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BSc (Hons) Sport &amp; Exercise Science (Nutrition)  </w:t>
      </w:r>
    </w:p>
    <w:p w:rsidRPr="2030048C" w:rsidP="2030048C">
      <w:pPr>
        <w:numPr>
          <w:ilvl w:val="0"/>
          <w:numId w:val="30"/>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BSc (Hons) Geography  </w:t>
      </w:r>
    </w:p>
    <w:p w:rsidRPr="2030048C" w:rsidP="2030048C">
      <w:pPr>
        <w:numPr>
          <w:ilvl w:val="0"/>
          <w:numId w:val="31"/>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BSc (Hons) Environmental Science  </w:t>
      </w:r>
    </w:p>
    <w:p w:rsidRPr="2030048C" w:rsidP="2030048C">
      <w:pPr>
        <w:numPr>
          <w:ilvl w:val="0"/>
          <w:numId w:val="32"/>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BSc (Hons) Environmental Science with Hazards and Disasters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details of each module will be provided in module descriptors and in the module canvas pages. </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Foundation Year</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in Science (Biosciences)</w:t>
      </w:r>
    </w:p>
    <w:p w:rsidR="008B5CAF" w:rsidRPr="008B5CAF" w:rsidP="008B5CAF" w14:paraId="22073769" w14:textId="77777777">
      <w:pPr>
        <w:rPr>
          <w:rFonts w:eastAsia="Arial"/>
        </w:rPr>
      </w:pPr>
    </w:p>
    <w:p w:rsidR="035B6837" w:rsidP="2030048C" w14:paraId="195B052D" w14:textId="16FF98F4">
      <w:pPr>
        <w:rPr>
          <w:rFonts w:ascii="Arial" w:eastAsia="Arial" w:hAnsi="Arial" w:cs="Arial"/>
          <w:color w:val="FF0000"/>
          <w:sz w:val="22"/>
          <w:szCs w:val="22"/>
          <w:lang w:val="en-GB"/>
        </w:rPr>
      </w:pPr>
    </w:p>
    <w:tbl>
      <w:tblPr>
        <w:tblW w:w="9133"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00"/>
        <w:gridCol w:w="733"/>
        <w:gridCol w:w="1305"/>
        <w:gridCol w:w="1623"/>
        <w:gridCol w:w="765"/>
        <w:gridCol w:w="795"/>
      </w:tblGrid>
      <w:tr w14:paraId="062AECAD" w14:textId="77777777" w:rsidTr="2030048C">
        <w:tblPrEx>
          <w:tblW w:w="9133" w:type="dxa"/>
          <w:tblLayout w:type="fixed"/>
          <w:tblLook w:val="04A0"/>
        </w:tblPrEx>
        <w:trPr>
          <w:trHeight w:val="300"/>
        </w:trPr>
        <w:tc>
          <w:tcPr>
            <w:tcW w:w="9133"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3A510DD" w14:textId="516E63D9">
            <w:pPr>
              <w:rPr>
                <w:rFonts w:ascii="Arial" w:eastAsia="Arial" w:hAnsi="Arial" w:cs="Arial"/>
                <w:sz w:val="24"/>
                <w:szCs w:val="24"/>
              </w:rPr>
            </w:pPr>
            <w:r w:rsidRPr="540725A5" w:rsidR="073AEBF5">
              <w:rPr>
                <w:rFonts w:ascii="Arial" w:eastAsia="Arial" w:hAnsi="Arial" w:cs="Arial"/>
                <w:b/>
                <w:bCs/>
                <w:sz w:val="24"/>
                <w:szCs w:val="24"/>
              </w:rPr>
              <w:t>Level 3</w:t>
            </w:r>
          </w:p>
        </w:tc>
      </w:tr>
      <w:tr w14:paraId="130F3C29" w14:textId="77777777" w:rsidTr="2030048C">
        <w:tblPrEx>
          <w:tblW w:w="9133" w:type="dxa"/>
          <w:tblLayout w:type="fixed"/>
          <w:tblLook w:val="04A0"/>
        </w:tblPrEx>
        <w:trPr>
          <w:trHeight w:val="300"/>
        </w:trPr>
        <w:tc>
          <w:tcPr>
            <w:tcW w:w="9133"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13C7877" w14:textId="143DB801">
            <w:pPr>
              <w:rPr>
                <w:rFonts w:ascii="Arial" w:eastAsia="Arial" w:hAnsi="Arial" w:cs="Arial"/>
                <w:sz w:val="24"/>
                <w:szCs w:val="24"/>
                <w:lang w:val="en-GB"/>
              </w:rPr>
            </w:pPr>
            <w:r w:rsidRPr="2030048C" w:rsidR="073AEBF5">
              <w:rPr>
                <w:rFonts w:ascii="Arial" w:eastAsia="Arial" w:hAnsi="Arial" w:cs="Arial"/>
                <w:b/>
                <w:bCs/>
                <w:sz w:val="24"/>
                <w:szCs w:val="24"/>
                <w:lang w:val="en-GB"/>
              </w:rPr>
              <w:t>Foundation Year</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in Science (Biosciences)</w:t>
            </w:r>
          </w:p>
        </w:tc>
      </w:tr>
      <w:tr w14:paraId="391AAB59" w14:textId="77777777" w:rsidTr="2030048C">
        <w:tblPrEx>
          <w:tblW w:w="9133"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857E6F1" w14:textId="5E92D1A0">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912B707" w14:textId="1CCCAF11">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0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61148C" w14:textId="6A900F43">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64CE928A" w14:textId="621FC4AE">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73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8C22397" w14:textId="7A089F7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30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29A4F69" w14:textId="157D9FD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62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5016C82" w14:textId="56A40D1F">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A7336DA" w14:textId="0393FB83">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13B77BB" w14:textId="1DA07574">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39E36728" w14:textId="77777777" w:rsidTr="2030048C">
        <w:tblPrEx>
          <w:tblW w:w="9133"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381FE6D" w14:textId="0CD33AE0">
            <w:pPr>
              <w:rPr>
                <w:rFonts w:ascii="Arial" w:eastAsia="Arial" w:hAnsi="Arial" w:cs="Arial"/>
                <w:sz w:val="24"/>
                <w:szCs w:val="24"/>
                <w:lang w:val="en-GB"/>
              </w:rPr>
            </w:pPr>
            <w:r w:rsidRPr="2030048C" w:rsidR="073AEBF5">
              <w:rPr>
                <w:rFonts w:ascii="Arial" w:eastAsia="Arial" w:hAnsi="Arial" w:cs="Arial"/>
                <w:sz w:val="24"/>
                <w:szCs w:val="24"/>
                <w:lang w:val="en-GB"/>
              </w:rPr>
              <w:t>Foundation Project-based Science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38ACB0" w14:textId="0B2F469A">
            <w:pPr>
              <w:jc w:val="center"/>
              <w:rPr>
                <w:rFonts w:ascii="Arial" w:eastAsia="Arial" w:hAnsi="Arial" w:cs="Arial"/>
                <w:sz w:val="24"/>
                <w:szCs w:val="24"/>
                <w:lang w:val="en-GB"/>
              </w:rPr>
            </w:pPr>
            <w:r w:rsidRPr="2030048C" w:rsidR="073AEBF5">
              <w:rPr>
                <w:rFonts w:ascii="Arial" w:eastAsia="Arial" w:hAnsi="Arial" w:cs="Arial"/>
                <w:sz w:val="24"/>
                <w:szCs w:val="24"/>
                <w:lang w:val="en-GB"/>
              </w:rPr>
              <w:t>LS3002</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AC3A606" w14:textId="49014B37">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73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1E8BAF" w14:textId="46191F46">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BB7AB" w14:textId="2CDF99F4">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62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B14E0C8" w14:textId="70BC9499">
            <w:pPr>
              <w:jc w:val="center"/>
              <w:rPr>
                <w:rFonts w:ascii="Arial" w:eastAsia="Arial" w:hAnsi="Arial" w:cs="Arial"/>
                <w:sz w:val="24"/>
                <w:szCs w:val="24"/>
                <w:lang w:val="en-GB"/>
              </w:rPr>
            </w:pPr>
          </w:p>
        </w:tc>
        <w:tc>
          <w:tcPr>
            <w:tcW w:w="7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D983C6B" w14:textId="51982C3D">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1768154D" w14:textId="0886C6F6">
            <w:pPr>
              <w:pStyle w:val="paragraph"/>
              <w:spacing w:before="0" w:beforeAutospacing="0" w:after="0" w:afterAutospacing="0"/>
              <w:jc w:val="center"/>
              <w:rPr>
                <w:rFonts w:ascii="Arial" w:eastAsia="Arial" w:hAnsi="Arial" w:cs="Arial"/>
                <w:sz w:val="24"/>
                <w:szCs w:val="24"/>
              </w:rPr>
            </w:pPr>
          </w:p>
        </w:tc>
      </w:tr>
      <w:tr w14:paraId="39E36729" w14:textId="77777777" w:rsidTr="2030048C">
        <w:tblPrEx>
          <w:tblW w:w="9133"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CD33AE0">
            <w:pPr>
              <w:rPr>
                <w:rFonts w:ascii="Arial" w:eastAsia="Arial" w:hAnsi="Arial" w:cs="Arial"/>
                <w:sz w:val="24"/>
                <w:szCs w:val="24"/>
                <w:lang w:val="en-GB"/>
              </w:rPr>
            </w:pPr>
            <w:r w:rsidRPr="2030048C" w:rsidR="073AEBF5">
              <w:rPr>
                <w:rFonts w:ascii="Arial" w:eastAsia="Arial" w:hAnsi="Arial" w:cs="Arial"/>
                <w:sz w:val="24"/>
                <w:szCs w:val="24"/>
                <w:lang w:val="en-GB"/>
              </w:rPr>
              <w:t>Introduction to Biological Sciences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B2F469A">
            <w:pPr>
              <w:jc w:val="center"/>
              <w:rPr>
                <w:rFonts w:ascii="Arial" w:eastAsia="Arial" w:hAnsi="Arial" w:cs="Arial"/>
                <w:sz w:val="24"/>
                <w:szCs w:val="24"/>
                <w:lang w:val="en-GB"/>
              </w:rPr>
            </w:pPr>
            <w:r w:rsidRPr="2030048C" w:rsidR="073AEBF5">
              <w:rPr>
                <w:rFonts w:ascii="Arial" w:eastAsia="Arial" w:hAnsi="Arial" w:cs="Arial"/>
                <w:sz w:val="24"/>
                <w:szCs w:val="24"/>
                <w:lang w:val="en-GB"/>
              </w:rPr>
              <w:t>LS3003</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9014B37">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73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6191F46">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CDF99F4">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62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0BC9499">
            <w:pPr>
              <w:jc w:val="center"/>
              <w:rPr>
                <w:rFonts w:ascii="Arial" w:eastAsia="Arial" w:hAnsi="Arial" w:cs="Arial"/>
                <w:sz w:val="24"/>
                <w:szCs w:val="24"/>
                <w:lang w:val="en-GB"/>
              </w:rPr>
            </w:pPr>
          </w:p>
        </w:tc>
        <w:tc>
          <w:tcPr>
            <w:tcW w:w="7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982C3D">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886C6F6">
            <w:pPr>
              <w:pStyle w:val="paragraph"/>
              <w:spacing w:before="0" w:beforeAutospacing="0" w:after="0" w:afterAutospacing="0"/>
              <w:jc w:val="center"/>
              <w:rPr>
                <w:rFonts w:ascii="Arial" w:eastAsia="Arial" w:hAnsi="Arial" w:cs="Arial"/>
                <w:sz w:val="24"/>
                <w:szCs w:val="24"/>
              </w:rPr>
            </w:pPr>
          </w:p>
        </w:tc>
      </w:tr>
      <w:tr w14:paraId="39E3672A" w14:textId="77777777" w:rsidTr="2030048C">
        <w:tblPrEx>
          <w:tblW w:w="9133"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CD33AE0">
            <w:pPr>
              <w:rPr>
                <w:rFonts w:ascii="Arial" w:eastAsia="Arial" w:hAnsi="Arial" w:cs="Arial"/>
                <w:sz w:val="24"/>
                <w:szCs w:val="24"/>
                <w:lang w:val="en-GB"/>
              </w:rPr>
            </w:pPr>
            <w:r w:rsidRPr="2030048C" w:rsidR="073AEBF5">
              <w:rPr>
                <w:rFonts w:ascii="Arial" w:eastAsia="Arial" w:hAnsi="Arial" w:cs="Arial"/>
                <w:sz w:val="24"/>
                <w:szCs w:val="24"/>
                <w:lang w:val="en-GB"/>
              </w:rPr>
              <w:t>Introduction to Chemical Sciences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B2F469A">
            <w:pPr>
              <w:jc w:val="center"/>
              <w:rPr>
                <w:rFonts w:ascii="Arial" w:eastAsia="Arial" w:hAnsi="Arial" w:cs="Arial"/>
                <w:sz w:val="24"/>
                <w:szCs w:val="24"/>
                <w:lang w:val="en-GB"/>
              </w:rPr>
            </w:pPr>
            <w:r w:rsidRPr="2030048C" w:rsidR="073AEBF5">
              <w:rPr>
                <w:rFonts w:ascii="Arial" w:eastAsia="Arial" w:hAnsi="Arial" w:cs="Arial"/>
                <w:sz w:val="24"/>
                <w:szCs w:val="24"/>
                <w:lang w:val="en-GB"/>
              </w:rPr>
              <w:t>LS3004</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9014B37">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73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6191F46">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CDF99F4">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62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0BC9499">
            <w:pPr>
              <w:jc w:val="center"/>
              <w:rPr>
                <w:rFonts w:ascii="Arial" w:eastAsia="Arial" w:hAnsi="Arial" w:cs="Arial"/>
                <w:sz w:val="24"/>
                <w:szCs w:val="24"/>
                <w:lang w:val="en-GB"/>
              </w:rPr>
            </w:pPr>
          </w:p>
        </w:tc>
        <w:tc>
          <w:tcPr>
            <w:tcW w:w="7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982C3D">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886C6F6">
            <w:pPr>
              <w:pStyle w:val="paragraph"/>
              <w:spacing w:before="0" w:beforeAutospacing="0" w:after="0" w:afterAutospacing="0"/>
              <w:jc w:val="center"/>
              <w:rPr>
                <w:rFonts w:ascii="Arial" w:eastAsia="Arial" w:hAnsi="Arial" w:cs="Arial"/>
                <w:sz w:val="24"/>
                <w:szCs w:val="24"/>
              </w:rPr>
            </w:pPr>
          </w:p>
        </w:tc>
      </w:tr>
      <w:tr w14:paraId="39E3672B" w14:textId="77777777" w:rsidTr="2030048C">
        <w:tblPrEx>
          <w:tblW w:w="9133"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CD33AE0">
            <w:pPr>
              <w:rPr>
                <w:rFonts w:ascii="Arial" w:eastAsia="Arial" w:hAnsi="Arial" w:cs="Arial"/>
                <w:sz w:val="24"/>
                <w:szCs w:val="24"/>
                <w:lang w:val="en-GB"/>
              </w:rPr>
            </w:pPr>
            <w:r w:rsidRPr="2030048C" w:rsidR="073AEBF5">
              <w:rPr>
                <w:rFonts w:ascii="Arial" w:eastAsia="Arial" w:hAnsi="Arial" w:cs="Arial"/>
                <w:sz w:val="24"/>
                <w:szCs w:val="24"/>
                <w:lang w:val="en-GB"/>
              </w:rPr>
              <w:t>Toolkit for Success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B2F469A">
            <w:pPr>
              <w:jc w:val="center"/>
              <w:rPr>
                <w:rFonts w:ascii="Arial" w:eastAsia="Arial" w:hAnsi="Arial" w:cs="Arial"/>
                <w:sz w:val="24"/>
                <w:szCs w:val="24"/>
                <w:lang w:val="en-GB"/>
              </w:rPr>
            </w:pPr>
            <w:r w:rsidRPr="2030048C" w:rsidR="073AEBF5">
              <w:rPr>
                <w:rFonts w:ascii="Arial" w:eastAsia="Arial" w:hAnsi="Arial" w:cs="Arial"/>
                <w:sz w:val="24"/>
                <w:szCs w:val="24"/>
                <w:lang w:val="en-GB"/>
              </w:rPr>
              <w:t>LS3001</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9014B37">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73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6191F46">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CDF99F4">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62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0BC9499">
            <w:pPr>
              <w:jc w:val="center"/>
              <w:rPr>
                <w:rFonts w:ascii="Arial" w:eastAsia="Arial" w:hAnsi="Arial" w:cs="Arial"/>
                <w:sz w:val="24"/>
                <w:szCs w:val="24"/>
                <w:lang w:val="en-GB"/>
              </w:rPr>
            </w:pPr>
          </w:p>
        </w:tc>
        <w:tc>
          <w:tcPr>
            <w:tcW w:w="7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982C3D">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886C6F6">
            <w:pPr>
              <w:pStyle w:val="paragraph"/>
              <w:spacing w:before="0" w:beforeAutospacing="0" w:after="0" w:afterAutospacing="0"/>
              <w:jc w:val="center"/>
              <w:rPr>
                <w:rFonts w:ascii="Arial" w:eastAsia="Arial" w:hAnsi="Arial" w:cs="Arial"/>
                <w:sz w:val="24"/>
                <w:szCs w:val="24"/>
              </w:rPr>
            </w:pPr>
          </w:p>
        </w:tc>
      </w:tr>
    </w:tbl>
    <w:p w:rsidR="66934EB1" w:rsidP="540725A5" w14:paraId="5CE98984" w14:textId="2D2F3ED7">
      <w:pPr>
        <w:rPr>
          <w:rFonts w:ascii="Arial" w:eastAsia="Arial" w:hAnsi="Arial" w:cs="Arial"/>
          <w:color w:val="FF0000"/>
          <w:sz w:val="24"/>
          <w:szCs w:val="24"/>
        </w:rPr>
      </w:pPr>
    </w:p>
    <w:p w:rsidR="66934EB1" w:rsidRPr="00D92363" w:rsidP="66934EB1" w14:textId="01ADAC37">
      <w:pPr>
        <w:rPr>
          <w:rFonts w:ascii="Arial" w:eastAsia="Arial" w:hAnsi="Arial" w:cs="Arial"/>
          <w:color w:val="FF0000"/>
        </w:rPr>
      </w:pPr>
    </w:p>
    <w:p w:rsidR="66934EB1" w:rsidP="2030048C"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Foundation Year</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in Science (Sports Sciences)</w:t>
      </w:r>
    </w:p>
    <w:p w:rsidR="008B5CAF" w:rsidRPr="008B5CAF" w:rsidP="008B5CAF" w14:textId="77777777">
      <w:pPr>
        <w:rPr>
          <w:rFonts w:eastAsia="Arial"/>
        </w:rPr>
      </w:pPr>
    </w:p>
    <w:p w:rsidR="035B6837" w:rsidP="2030048C" w14:textId="16FF98F4">
      <w:pPr>
        <w:rPr>
          <w:rFonts w:ascii="Arial" w:eastAsia="Arial" w:hAnsi="Arial" w:cs="Arial"/>
          <w:color w:val="FF0000"/>
          <w:sz w:val="22"/>
          <w:szCs w:val="22"/>
          <w:lang w:val="en-GB"/>
        </w:rPr>
      </w:pPr>
    </w:p>
    <w:tbl>
      <w:tblPr>
        <w:tblW w:w="9133"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00"/>
        <w:gridCol w:w="733"/>
        <w:gridCol w:w="1305"/>
        <w:gridCol w:w="1623"/>
        <w:gridCol w:w="765"/>
        <w:gridCol w:w="795"/>
      </w:tblGrid>
      <w:tr w14:paraId="062AECAE" w14:textId="77777777" w:rsidTr="2030048C">
        <w:tblPrEx>
          <w:tblW w:w="9133" w:type="dxa"/>
          <w:tblLayout w:type="fixed"/>
          <w:tblLook w:val="04A0"/>
        </w:tblPrEx>
        <w:trPr>
          <w:trHeight w:val="300"/>
        </w:trPr>
        <w:tc>
          <w:tcPr>
            <w:tcW w:w="9133"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516E63D9">
            <w:pPr>
              <w:rPr>
                <w:rFonts w:ascii="Arial" w:eastAsia="Arial" w:hAnsi="Arial" w:cs="Arial"/>
                <w:sz w:val="24"/>
                <w:szCs w:val="24"/>
              </w:rPr>
            </w:pPr>
            <w:r w:rsidRPr="540725A5" w:rsidR="073AEBF5">
              <w:rPr>
                <w:rFonts w:ascii="Arial" w:eastAsia="Arial" w:hAnsi="Arial" w:cs="Arial"/>
                <w:b/>
                <w:bCs/>
                <w:sz w:val="24"/>
                <w:szCs w:val="24"/>
              </w:rPr>
              <w:t>Level 3</w:t>
            </w:r>
          </w:p>
        </w:tc>
      </w:tr>
      <w:tr w14:paraId="130F3C2A" w14:textId="77777777" w:rsidTr="2030048C">
        <w:tblPrEx>
          <w:tblW w:w="9133" w:type="dxa"/>
          <w:tblLayout w:type="fixed"/>
          <w:tblLook w:val="04A0"/>
        </w:tblPrEx>
        <w:trPr>
          <w:trHeight w:val="300"/>
        </w:trPr>
        <w:tc>
          <w:tcPr>
            <w:tcW w:w="9133"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textId="143DB801">
            <w:pPr>
              <w:rPr>
                <w:rFonts w:ascii="Arial" w:eastAsia="Arial" w:hAnsi="Arial" w:cs="Arial"/>
                <w:sz w:val="24"/>
                <w:szCs w:val="24"/>
                <w:lang w:val="en-GB"/>
              </w:rPr>
            </w:pPr>
            <w:r w:rsidRPr="2030048C" w:rsidR="073AEBF5">
              <w:rPr>
                <w:rFonts w:ascii="Arial" w:eastAsia="Arial" w:hAnsi="Arial" w:cs="Arial"/>
                <w:b/>
                <w:bCs/>
                <w:sz w:val="24"/>
                <w:szCs w:val="24"/>
                <w:lang w:val="en-GB"/>
              </w:rPr>
              <w:t>Foundation Year</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in Science (Sports Sciences)</w:t>
            </w:r>
          </w:p>
        </w:tc>
      </w:tr>
      <w:tr w14:paraId="391AAB5A" w14:textId="77777777" w:rsidTr="2030048C">
        <w:tblPrEx>
          <w:tblW w:w="9133"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5E92D1A0">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CCCAF11">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0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6A900F43">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textId="621FC4AE">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73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7A089F7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30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57D9FD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62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56A40D1F">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0393FB83">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DA07574">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39E3672C" w14:textId="77777777" w:rsidTr="2030048C">
        <w:tblPrEx>
          <w:tblW w:w="9133"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CD33AE0">
            <w:pPr>
              <w:rPr>
                <w:rFonts w:ascii="Arial" w:eastAsia="Arial" w:hAnsi="Arial" w:cs="Arial"/>
                <w:sz w:val="24"/>
                <w:szCs w:val="24"/>
                <w:lang w:val="en-GB"/>
              </w:rPr>
            </w:pPr>
            <w:r w:rsidRPr="2030048C" w:rsidR="073AEBF5">
              <w:rPr>
                <w:rFonts w:ascii="Arial" w:eastAsia="Arial" w:hAnsi="Arial" w:cs="Arial"/>
                <w:sz w:val="24"/>
                <w:szCs w:val="24"/>
                <w:lang w:val="en-GB"/>
              </w:rPr>
              <w:t>Foundation Project-based Science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B2F469A">
            <w:pPr>
              <w:jc w:val="center"/>
              <w:rPr>
                <w:rFonts w:ascii="Arial" w:eastAsia="Arial" w:hAnsi="Arial" w:cs="Arial"/>
                <w:sz w:val="24"/>
                <w:szCs w:val="24"/>
                <w:lang w:val="en-GB"/>
              </w:rPr>
            </w:pPr>
            <w:r w:rsidRPr="2030048C" w:rsidR="073AEBF5">
              <w:rPr>
                <w:rFonts w:ascii="Arial" w:eastAsia="Arial" w:hAnsi="Arial" w:cs="Arial"/>
                <w:sz w:val="24"/>
                <w:szCs w:val="24"/>
                <w:lang w:val="en-GB"/>
              </w:rPr>
              <w:t>LS3002</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9014B37">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73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6191F46">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CDF99F4">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62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0BC9499">
            <w:pPr>
              <w:jc w:val="center"/>
              <w:rPr>
                <w:rFonts w:ascii="Arial" w:eastAsia="Arial" w:hAnsi="Arial" w:cs="Arial"/>
                <w:sz w:val="24"/>
                <w:szCs w:val="24"/>
                <w:lang w:val="en-GB"/>
              </w:rPr>
            </w:pPr>
          </w:p>
        </w:tc>
        <w:tc>
          <w:tcPr>
            <w:tcW w:w="7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982C3D">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886C6F6">
            <w:pPr>
              <w:pStyle w:val="paragraph"/>
              <w:spacing w:before="0" w:beforeAutospacing="0" w:after="0" w:afterAutospacing="0"/>
              <w:jc w:val="center"/>
              <w:rPr>
                <w:rFonts w:ascii="Arial" w:eastAsia="Arial" w:hAnsi="Arial" w:cs="Arial"/>
                <w:sz w:val="24"/>
                <w:szCs w:val="24"/>
              </w:rPr>
            </w:pPr>
          </w:p>
        </w:tc>
      </w:tr>
      <w:tr w14:paraId="39E3672D" w14:textId="77777777" w:rsidTr="2030048C">
        <w:tblPrEx>
          <w:tblW w:w="9133"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CD33AE0">
            <w:pPr>
              <w:rPr>
                <w:rFonts w:ascii="Arial" w:eastAsia="Arial" w:hAnsi="Arial" w:cs="Arial"/>
                <w:sz w:val="24"/>
                <w:szCs w:val="24"/>
                <w:lang w:val="en-GB"/>
              </w:rPr>
            </w:pPr>
            <w:r w:rsidRPr="2030048C" w:rsidR="073AEBF5">
              <w:rPr>
                <w:rFonts w:ascii="Arial" w:eastAsia="Arial" w:hAnsi="Arial" w:cs="Arial"/>
                <w:sz w:val="24"/>
                <w:szCs w:val="24"/>
                <w:lang w:val="en-GB"/>
              </w:rPr>
              <w:t>Foundations of Sport and Exercise Science – Athlete Support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B2F469A">
            <w:pPr>
              <w:jc w:val="center"/>
              <w:rPr>
                <w:rFonts w:ascii="Arial" w:eastAsia="Arial" w:hAnsi="Arial" w:cs="Arial"/>
                <w:sz w:val="24"/>
                <w:szCs w:val="24"/>
                <w:lang w:val="en-GB"/>
              </w:rPr>
            </w:pPr>
            <w:r w:rsidRPr="2030048C" w:rsidR="073AEBF5">
              <w:rPr>
                <w:rFonts w:ascii="Arial" w:eastAsia="Arial" w:hAnsi="Arial" w:cs="Arial"/>
                <w:sz w:val="24"/>
                <w:szCs w:val="24"/>
                <w:lang w:val="en-GB"/>
              </w:rPr>
              <w:t>LS3006</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9014B37">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73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6191F46">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CDF99F4">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62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0BC9499">
            <w:pPr>
              <w:jc w:val="center"/>
              <w:rPr>
                <w:rFonts w:ascii="Arial" w:eastAsia="Arial" w:hAnsi="Arial" w:cs="Arial"/>
                <w:sz w:val="24"/>
                <w:szCs w:val="24"/>
                <w:lang w:val="en-GB"/>
              </w:rPr>
            </w:pPr>
          </w:p>
        </w:tc>
        <w:tc>
          <w:tcPr>
            <w:tcW w:w="7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982C3D">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886C6F6">
            <w:pPr>
              <w:pStyle w:val="paragraph"/>
              <w:spacing w:before="0" w:beforeAutospacing="0" w:after="0" w:afterAutospacing="0"/>
              <w:jc w:val="center"/>
              <w:rPr>
                <w:rFonts w:ascii="Arial" w:eastAsia="Arial" w:hAnsi="Arial" w:cs="Arial"/>
                <w:sz w:val="24"/>
                <w:szCs w:val="24"/>
              </w:rPr>
            </w:pPr>
          </w:p>
        </w:tc>
      </w:tr>
      <w:tr w14:paraId="39E3672E" w14:textId="77777777" w:rsidTr="2030048C">
        <w:tblPrEx>
          <w:tblW w:w="9133"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CD33AE0">
            <w:pPr>
              <w:rPr>
                <w:rFonts w:ascii="Arial" w:eastAsia="Arial" w:hAnsi="Arial" w:cs="Arial"/>
                <w:sz w:val="24"/>
                <w:szCs w:val="24"/>
                <w:lang w:val="en-GB"/>
              </w:rPr>
            </w:pPr>
            <w:r w:rsidRPr="2030048C" w:rsidR="073AEBF5">
              <w:rPr>
                <w:rFonts w:ascii="Arial" w:eastAsia="Arial" w:hAnsi="Arial" w:cs="Arial"/>
                <w:sz w:val="24"/>
                <w:szCs w:val="24"/>
                <w:lang w:val="en-GB"/>
              </w:rPr>
              <w:t>Foundations of Sport and Exercise Science –Athlete Development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B2F469A">
            <w:pPr>
              <w:jc w:val="center"/>
              <w:rPr>
                <w:rFonts w:ascii="Arial" w:eastAsia="Arial" w:hAnsi="Arial" w:cs="Arial"/>
                <w:sz w:val="24"/>
                <w:szCs w:val="24"/>
                <w:lang w:val="en-GB"/>
              </w:rPr>
            </w:pPr>
            <w:r w:rsidRPr="2030048C" w:rsidR="073AEBF5">
              <w:rPr>
                <w:rFonts w:ascii="Arial" w:eastAsia="Arial" w:hAnsi="Arial" w:cs="Arial"/>
                <w:sz w:val="24"/>
                <w:szCs w:val="24"/>
                <w:lang w:val="en-GB"/>
              </w:rPr>
              <w:t>LS3005</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9014B37">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73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6191F46">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CDF99F4">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62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0BC9499">
            <w:pPr>
              <w:jc w:val="center"/>
              <w:rPr>
                <w:rFonts w:ascii="Arial" w:eastAsia="Arial" w:hAnsi="Arial" w:cs="Arial"/>
                <w:sz w:val="24"/>
                <w:szCs w:val="24"/>
                <w:lang w:val="en-GB"/>
              </w:rPr>
            </w:pPr>
          </w:p>
        </w:tc>
        <w:tc>
          <w:tcPr>
            <w:tcW w:w="7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982C3D">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886C6F6">
            <w:pPr>
              <w:pStyle w:val="paragraph"/>
              <w:spacing w:before="0" w:beforeAutospacing="0" w:after="0" w:afterAutospacing="0"/>
              <w:jc w:val="center"/>
              <w:rPr>
                <w:rFonts w:ascii="Arial" w:eastAsia="Arial" w:hAnsi="Arial" w:cs="Arial"/>
                <w:sz w:val="24"/>
                <w:szCs w:val="24"/>
              </w:rPr>
            </w:pPr>
          </w:p>
        </w:tc>
      </w:tr>
      <w:tr w14:paraId="39E3672F" w14:textId="77777777" w:rsidTr="2030048C">
        <w:tblPrEx>
          <w:tblW w:w="9133"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CD33AE0">
            <w:pPr>
              <w:rPr>
                <w:rFonts w:ascii="Arial" w:eastAsia="Arial" w:hAnsi="Arial" w:cs="Arial"/>
                <w:sz w:val="24"/>
                <w:szCs w:val="24"/>
                <w:lang w:val="en-GB"/>
              </w:rPr>
            </w:pPr>
            <w:r w:rsidRPr="2030048C" w:rsidR="073AEBF5">
              <w:rPr>
                <w:rFonts w:ascii="Arial" w:eastAsia="Arial" w:hAnsi="Arial" w:cs="Arial"/>
                <w:sz w:val="24"/>
                <w:szCs w:val="24"/>
                <w:lang w:val="en-GB"/>
              </w:rPr>
              <w:t>Toolkit for Success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B2F469A">
            <w:pPr>
              <w:jc w:val="center"/>
              <w:rPr>
                <w:rFonts w:ascii="Arial" w:eastAsia="Arial" w:hAnsi="Arial" w:cs="Arial"/>
                <w:sz w:val="24"/>
                <w:szCs w:val="24"/>
                <w:lang w:val="en-GB"/>
              </w:rPr>
            </w:pPr>
            <w:r w:rsidRPr="2030048C" w:rsidR="073AEBF5">
              <w:rPr>
                <w:rFonts w:ascii="Arial" w:eastAsia="Arial" w:hAnsi="Arial" w:cs="Arial"/>
                <w:sz w:val="24"/>
                <w:szCs w:val="24"/>
                <w:lang w:val="en-GB"/>
              </w:rPr>
              <w:t>LS3001</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9014B37">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73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6191F46">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130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CDF99F4">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62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0BC9499">
            <w:pPr>
              <w:jc w:val="center"/>
              <w:rPr>
                <w:rFonts w:ascii="Arial" w:eastAsia="Arial" w:hAnsi="Arial" w:cs="Arial"/>
                <w:sz w:val="24"/>
                <w:szCs w:val="24"/>
                <w:lang w:val="en-GB"/>
              </w:rPr>
            </w:pPr>
          </w:p>
        </w:tc>
        <w:tc>
          <w:tcPr>
            <w:tcW w:w="7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982C3D">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886C6F6">
            <w:pPr>
              <w:pStyle w:val="paragraph"/>
              <w:spacing w:before="0" w:beforeAutospacing="0" w:after="0" w:afterAutospacing="0"/>
              <w:jc w:val="center"/>
              <w:rPr>
                <w:rFonts w:ascii="Arial" w:eastAsia="Arial" w:hAnsi="Arial" w:cs="Arial"/>
                <w:sz w:val="24"/>
                <w:szCs w:val="24"/>
              </w:rPr>
            </w:pPr>
          </w:p>
        </w:tc>
      </w:tr>
    </w:tbl>
    <w:p w:rsidR="66934EB1" w:rsidP="540725A5" w14:textId="2D2F3ED7">
      <w:pPr>
        <w:rPr>
          <w:rFonts w:ascii="Arial" w:eastAsia="Arial" w:hAnsi="Arial" w:cs="Arial"/>
          <w:color w:val="FF0000"/>
          <w:sz w:val="24"/>
          <w:szCs w:val="24"/>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sz w:val="24"/>
          <w:szCs w:val="24"/>
        </w:rPr>
        <w:t>This course uses a range of teaching and assessment methods which have been designed to support students’ learning and achievement of the learning outcomes. The course has been developed with reference to the Kingston University Academic Framework which sets-out core principles relating to Course and Credit Structure (including Module delivery Structure and Pattern, and Learning Hours and Learning Formats); Curriculum Design (including Learning Design Principles and Inclusive Curriculum); and Future Skills.</w:t>
      </w:r>
    </w:p>
    <w:p w:rsidRPr="2030048C" w:rsidP="2030048C">
      <w:pPr>
        <w:rPr>
          <w:rFonts w:ascii="Arial" w:eastAsia="Arial" w:hAnsi="Arial" w:cs="Arial"/>
          <w:sz w:val="24"/>
          <w:szCs w:val="24"/>
        </w:rPr>
      </w:pPr>
      <w:r w:rsidRPr="2030048C">
        <w:rPr>
          <w:rFonts w:ascii="Arial" w:eastAsia="Arial" w:hAnsi="Arial" w:cs="Arial"/>
          <w:sz w:val="24"/>
          <w:szCs w:val="24"/>
        </w:rPr>
        <w:t>Teaching and Learning on the course consist of Scheduled Learning and Teaching and Guided Independent Study (self-managed time). Scheduled Learning and Teaching includes the following, and the format for each module is set out in the module specification:</w:t>
      </w:r>
    </w:p>
    <w:p w:rsidRPr="2030048C" w:rsidP="2030048C">
      <w:pPr>
        <w:numPr>
          <w:ilvl w:val="0"/>
          <w:numId w:val="33"/>
        </w:numPr>
        <w:ind w:left="720" w:hanging="360"/>
        <w:jc w:val="left"/>
        <w:rPr>
          <w:rFonts w:ascii="Arial" w:eastAsia="Arial" w:hAnsi="Arial" w:cs="Arial"/>
          <w:sz w:val="24"/>
          <w:szCs w:val="24"/>
        </w:rPr>
      </w:pPr>
      <w:r w:rsidRPr="2030048C">
        <w:rPr>
          <w:rFonts w:ascii="Arial" w:eastAsia="Arial" w:hAnsi="Arial" w:cs="Arial"/>
          <w:sz w:val="24"/>
          <w:szCs w:val="24"/>
        </w:rPr>
        <w:t>Laboratory Sessions</w:t>
      </w:r>
    </w:p>
    <w:p w:rsidRPr="2030048C" w:rsidP="2030048C">
      <w:pPr>
        <w:numPr>
          <w:ilvl w:val="0"/>
          <w:numId w:val="33"/>
        </w:numPr>
        <w:ind w:left="720" w:hanging="360"/>
        <w:jc w:val="left"/>
        <w:rPr>
          <w:rFonts w:ascii="Arial" w:eastAsia="Arial" w:hAnsi="Arial" w:cs="Arial"/>
          <w:sz w:val="24"/>
          <w:szCs w:val="24"/>
        </w:rPr>
      </w:pPr>
      <w:r w:rsidRPr="2030048C">
        <w:rPr>
          <w:rFonts w:ascii="Arial" w:eastAsia="Arial" w:hAnsi="Arial" w:cs="Arial"/>
          <w:sz w:val="24"/>
          <w:szCs w:val="24"/>
        </w:rPr>
        <w:t>Lectures</w:t>
      </w:r>
    </w:p>
    <w:p w:rsidRPr="2030048C" w:rsidP="2030048C">
      <w:pPr>
        <w:numPr>
          <w:ilvl w:val="0"/>
          <w:numId w:val="33"/>
        </w:numPr>
        <w:ind w:left="720" w:hanging="360"/>
        <w:jc w:val="left"/>
        <w:rPr>
          <w:rFonts w:ascii="Arial" w:eastAsia="Arial" w:hAnsi="Arial" w:cs="Arial"/>
          <w:sz w:val="24"/>
          <w:szCs w:val="24"/>
        </w:rPr>
      </w:pPr>
      <w:r w:rsidRPr="2030048C">
        <w:rPr>
          <w:rFonts w:ascii="Arial" w:eastAsia="Arial" w:hAnsi="Arial" w:cs="Arial"/>
          <w:sz w:val="24"/>
          <w:szCs w:val="24"/>
        </w:rPr>
        <w:t>Seminars</w:t>
      </w:r>
    </w:p>
    <w:p w:rsidRPr="2030048C" w:rsidP="2030048C">
      <w:pPr>
        <w:numPr>
          <w:ilvl w:val="0"/>
          <w:numId w:val="33"/>
        </w:numPr>
        <w:ind w:left="720" w:hanging="360"/>
        <w:jc w:val="left"/>
        <w:rPr>
          <w:rFonts w:ascii="Arial" w:eastAsia="Arial" w:hAnsi="Arial" w:cs="Arial"/>
          <w:sz w:val="24"/>
          <w:szCs w:val="24"/>
        </w:rPr>
      </w:pPr>
      <w:r w:rsidRPr="2030048C">
        <w:rPr>
          <w:rFonts w:ascii="Arial" w:eastAsia="Arial" w:hAnsi="Arial" w:cs="Arial"/>
          <w:sz w:val="24"/>
          <w:szCs w:val="24"/>
        </w:rPr>
        <w:t>Tutorials</w:t>
      </w:r>
    </w:p>
    <w:p w:rsidRPr="2030048C" w:rsidP="2030048C">
      <w:pPr>
        <w:numPr>
          <w:ilvl w:val="0"/>
          <w:numId w:val="33"/>
        </w:numPr>
        <w:ind w:left="720" w:hanging="360"/>
        <w:jc w:val="left"/>
        <w:rPr>
          <w:rFonts w:ascii="Arial" w:eastAsia="Arial" w:hAnsi="Arial" w:cs="Arial"/>
          <w:sz w:val="24"/>
          <w:szCs w:val="24"/>
        </w:rPr>
      </w:pPr>
      <w:r w:rsidRPr="2030048C">
        <w:rPr>
          <w:rFonts w:ascii="Arial" w:eastAsia="Arial" w:hAnsi="Arial" w:cs="Arial"/>
          <w:sz w:val="24"/>
          <w:szCs w:val="24"/>
        </w:rPr>
        <w:t>Workshops</w:t>
      </w:r>
    </w:p>
    <w:p w:rsidRPr="2030048C" w:rsidP="2030048C">
      <w:pPr>
        <w:numPr>
          <w:ilvl w:val="0"/>
          <w:numId w:val="33"/>
        </w:numPr>
        <w:ind w:left="720" w:hanging="360"/>
        <w:jc w:val="left"/>
        <w:rPr>
          <w:rFonts w:ascii="Arial" w:eastAsia="Arial" w:hAnsi="Arial" w:cs="Arial"/>
          <w:sz w:val="24"/>
          <w:szCs w:val="24"/>
        </w:rPr>
      </w:pPr>
      <w:r w:rsidRPr="2030048C">
        <w:rPr>
          <w:rFonts w:ascii="Arial" w:eastAsia="Arial" w:hAnsi="Arial" w:cs="Arial"/>
          <w:sz w:val="24"/>
          <w:szCs w:val="24"/>
        </w:rPr>
        <w:t>Placements</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Guidance for students on the use of independent study time is communicated through the ‘Succeed in your module’ section on the Canvas Virtual Learning Environment and through other communications during the course.</w:t>
      </w:r>
    </w:p>
    <w:p w:rsidRPr="2030048C" w:rsidP="2030048C">
      <w:pPr>
        <w:rPr>
          <w:rFonts w:ascii="Arial" w:eastAsia="Arial" w:hAnsi="Arial" w:cs="Arial"/>
          <w:sz w:val="24"/>
          <w:szCs w:val="24"/>
        </w:rPr>
      </w:pPr>
      <w:r w:rsidRPr="2030048C">
        <w:rPr>
          <w:rFonts w:ascii="Arial" w:eastAsia="Arial" w:hAnsi="Arial" w:cs="Arial"/>
          <w:sz w:val="24"/>
          <w:szCs w:val="24"/>
        </w:rPr>
        <w:t>In addition to the core Scheduled Learning and Teaching activities for the course, the University may offer students additional optional opportunities for learning. Examples of these include Study abroad and Work-based learning.</w:t>
      </w:r>
    </w:p>
    <w:p w:rsidRPr="2030048C" w:rsidP="2030048C">
      <w:pPr>
        <w:rPr>
          <w:rFonts w:ascii="Arial" w:eastAsia="Arial" w:hAnsi="Arial" w:cs="Arial"/>
          <w:sz w:val="24"/>
          <w:szCs w:val="24"/>
        </w:rPr>
      </w:pPr>
      <w:r w:rsidRPr="2030048C">
        <w:rPr>
          <w:rFonts w:ascii="Arial" w:eastAsia="Arial" w:hAnsi="Arial" w:cs="Arial"/>
          <w:sz w:val="24"/>
          <w:szCs w:val="24"/>
        </w:rPr>
        <w:t>The course will provide students with the opportunity to develop their knowledge and skills relating to at least two United Nations Sustainable Development Goals (UN SDGs). We are committed to empowering students with the knowledge, skills and opportunities to understand and address the UN SDGs: each course is thus also required to prepare students for at least two of the SDGs (not including Quality Education, which all courses must deliver).</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4"/>
          <w:szCs w:val="24"/>
        </w:rPr>
        <w:t>Students are supported through a range of services that provide academic and wider support. These include:</w:t>
      </w:r>
    </w:p>
    <w:p w:rsidRPr="2030048C" w:rsidP="2030048C">
      <w:pPr>
        <w:numPr>
          <w:ilvl w:val="0"/>
          <w:numId w:val="34"/>
        </w:numPr>
        <w:ind w:left="720" w:hanging="360"/>
        <w:jc w:val="left"/>
        <w:rPr>
          <w:rFonts w:ascii="Arial" w:eastAsia="Arial" w:hAnsi="Arial" w:cs="Arial"/>
          <w:sz w:val="24"/>
          <w:szCs w:val="24"/>
        </w:rPr>
      </w:pPr>
      <w:r w:rsidRPr="2030048C">
        <w:rPr>
          <w:rFonts w:ascii="Arial" w:eastAsia="Arial" w:hAnsi="Arial" w:cs="Arial"/>
          <w:sz w:val="24"/>
          <w:szCs w:val="24"/>
        </w:rPr>
        <w:t>A Module Leader for each module</w:t>
      </w:r>
    </w:p>
    <w:p w:rsidRPr="2030048C" w:rsidP="2030048C">
      <w:pPr>
        <w:numPr>
          <w:ilvl w:val="0"/>
          <w:numId w:val="34"/>
        </w:numPr>
        <w:ind w:left="720" w:hanging="360"/>
        <w:jc w:val="left"/>
        <w:rPr>
          <w:rFonts w:ascii="Arial" w:eastAsia="Arial" w:hAnsi="Arial" w:cs="Arial"/>
          <w:sz w:val="24"/>
          <w:szCs w:val="24"/>
        </w:rPr>
      </w:pPr>
      <w:r w:rsidRPr="2030048C">
        <w:rPr>
          <w:rFonts w:ascii="Arial" w:eastAsia="Arial" w:hAnsi="Arial" w:cs="Arial"/>
          <w:sz w:val="24"/>
          <w:szCs w:val="24"/>
        </w:rPr>
        <w:t>A Course Leader to help students understand the course structure</w:t>
      </w:r>
    </w:p>
    <w:p w:rsidRPr="2030048C" w:rsidP="2030048C">
      <w:pPr>
        <w:numPr>
          <w:ilvl w:val="0"/>
          <w:numId w:val="34"/>
        </w:numPr>
        <w:ind w:left="720" w:hanging="360"/>
        <w:jc w:val="left"/>
        <w:rPr>
          <w:rFonts w:ascii="Arial" w:eastAsia="Arial" w:hAnsi="Arial" w:cs="Arial"/>
          <w:sz w:val="24"/>
          <w:szCs w:val="24"/>
        </w:rPr>
      </w:pPr>
      <w:r w:rsidRPr="2030048C">
        <w:rPr>
          <w:rFonts w:ascii="Arial" w:eastAsia="Arial" w:hAnsi="Arial" w:cs="Arial"/>
          <w:sz w:val="24"/>
          <w:szCs w:val="24"/>
        </w:rPr>
        <w:t>Personal Tutors to provide academic and personal support</w:t>
      </w:r>
    </w:p>
    <w:p w:rsidRPr="2030048C" w:rsidP="2030048C">
      <w:pPr>
        <w:numPr>
          <w:ilvl w:val="0"/>
          <w:numId w:val="34"/>
        </w:numPr>
        <w:ind w:left="720" w:hanging="360"/>
        <w:jc w:val="left"/>
        <w:rPr>
          <w:rFonts w:ascii="Arial" w:eastAsia="Arial" w:hAnsi="Arial" w:cs="Arial"/>
          <w:sz w:val="24"/>
          <w:szCs w:val="24"/>
        </w:rPr>
      </w:pPr>
      <w:r w:rsidRPr="2030048C">
        <w:rPr>
          <w:rFonts w:ascii="Arial" w:eastAsia="Arial" w:hAnsi="Arial" w:cs="Arial"/>
          <w:sz w:val="24"/>
          <w:szCs w:val="24"/>
        </w:rPr>
        <w:t>Technical support to advise students on IT and the use of software</w:t>
      </w:r>
    </w:p>
    <w:p w:rsidRPr="2030048C" w:rsidP="2030048C">
      <w:pPr>
        <w:numPr>
          <w:ilvl w:val="0"/>
          <w:numId w:val="34"/>
        </w:numPr>
        <w:ind w:left="720" w:hanging="360"/>
        <w:jc w:val="left"/>
        <w:rPr>
          <w:rFonts w:ascii="Arial" w:eastAsia="Arial" w:hAnsi="Arial" w:cs="Arial"/>
          <w:sz w:val="24"/>
          <w:szCs w:val="24"/>
        </w:rPr>
      </w:pPr>
      <w:r w:rsidRPr="2030048C">
        <w:rPr>
          <w:rFonts w:ascii="Arial" w:eastAsia="Arial" w:hAnsi="Arial" w:cs="Arial"/>
          <w:sz w:val="24"/>
          <w:szCs w:val="24"/>
        </w:rPr>
        <w:t>Student Voice Committee – to ensure the views of students are heard</w:t>
      </w:r>
    </w:p>
    <w:p w:rsidRPr="2030048C" w:rsidP="2030048C">
      <w:pPr>
        <w:numPr>
          <w:ilvl w:val="0"/>
          <w:numId w:val="34"/>
        </w:numPr>
        <w:ind w:left="720" w:hanging="360"/>
        <w:jc w:val="left"/>
        <w:rPr>
          <w:rFonts w:ascii="Arial" w:eastAsia="Arial" w:hAnsi="Arial" w:cs="Arial"/>
          <w:sz w:val="24"/>
          <w:szCs w:val="24"/>
        </w:rPr>
      </w:pPr>
      <w:r w:rsidRPr="2030048C">
        <w:rPr>
          <w:rFonts w:ascii="Arial" w:eastAsia="Arial" w:hAnsi="Arial" w:cs="Arial"/>
          <w:sz w:val="24"/>
          <w:szCs w:val="24"/>
        </w:rPr>
        <w:t>Canvas – Kingston University’s Virtual Learning Environment</w:t>
      </w:r>
    </w:p>
    <w:p w:rsidRPr="2030048C" w:rsidP="2030048C">
      <w:pPr>
        <w:numPr>
          <w:ilvl w:val="0"/>
          <w:numId w:val="34"/>
        </w:numPr>
        <w:ind w:left="720" w:hanging="360"/>
        <w:jc w:val="left"/>
        <w:rPr>
          <w:rFonts w:ascii="Arial" w:eastAsia="Arial" w:hAnsi="Arial" w:cs="Arial"/>
          <w:sz w:val="24"/>
          <w:szCs w:val="24"/>
        </w:rPr>
      </w:pPr>
      <w:r w:rsidRPr="2030048C">
        <w:rPr>
          <w:rFonts w:ascii="Arial" w:eastAsia="Arial" w:hAnsi="Arial" w:cs="Arial"/>
          <w:sz w:val="24"/>
          <w:szCs w:val="24"/>
        </w:rPr>
        <w:t>Student support facilities that can provide advice on issues such as finance, regulations, legal matters, accommodation, international student support</w:t>
      </w:r>
    </w:p>
    <w:p w:rsidRPr="2030048C" w:rsidP="2030048C">
      <w:pPr>
        <w:numPr>
          <w:ilvl w:val="0"/>
          <w:numId w:val="34"/>
        </w:numPr>
        <w:ind w:left="720" w:hanging="360"/>
        <w:jc w:val="left"/>
        <w:rPr>
          <w:rFonts w:ascii="Arial" w:eastAsia="Arial" w:hAnsi="Arial" w:cs="Arial"/>
          <w:sz w:val="24"/>
          <w:szCs w:val="24"/>
        </w:rPr>
      </w:pPr>
      <w:r w:rsidRPr="2030048C">
        <w:rPr>
          <w:rFonts w:ascii="Arial" w:eastAsia="Arial" w:hAnsi="Arial" w:cs="Arial"/>
          <w:sz w:val="24"/>
          <w:szCs w:val="24"/>
        </w:rPr>
        <w:t>Disabled student support</w:t>
      </w:r>
    </w:p>
    <w:p w:rsidRPr="2030048C" w:rsidP="2030048C">
      <w:pPr>
        <w:numPr>
          <w:ilvl w:val="0"/>
          <w:numId w:val="34"/>
        </w:numPr>
        <w:ind w:left="720" w:hanging="360"/>
        <w:jc w:val="left"/>
        <w:rPr>
          <w:rFonts w:ascii="Arial" w:eastAsia="Arial" w:hAnsi="Arial" w:cs="Arial"/>
          <w:sz w:val="24"/>
          <w:szCs w:val="24"/>
        </w:rPr>
      </w:pPr>
      <w:r w:rsidRPr="2030048C">
        <w:rPr>
          <w:rFonts w:ascii="Arial" w:eastAsia="Arial" w:hAnsi="Arial" w:cs="Arial"/>
          <w:sz w:val="24"/>
          <w:szCs w:val="24"/>
        </w:rPr>
        <w:t>The Kingston Students’ Union</w:t>
      </w:r>
    </w:p>
    <w:p w:rsidRPr="2030048C" w:rsidP="2030048C">
      <w:pPr>
        <w:numPr>
          <w:ilvl w:val="0"/>
          <w:numId w:val="34"/>
        </w:numPr>
        <w:ind w:left="720" w:hanging="360"/>
        <w:jc w:val="left"/>
        <w:rPr>
          <w:rFonts w:ascii="Arial" w:eastAsia="Arial" w:hAnsi="Arial" w:cs="Arial"/>
          <w:sz w:val="24"/>
          <w:szCs w:val="24"/>
        </w:rPr>
      </w:pPr>
      <w:r w:rsidRPr="2030048C">
        <w:rPr>
          <w:rFonts w:ascii="Arial" w:eastAsia="Arial" w:hAnsi="Arial" w:cs="Arial"/>
          <w:sz w:val="24"/>
          <w:szCs w:val="24"/>
        </w:rPr>
        <w:t>Student Development and Graduate Success</w:t>
      </w:r>
    </w:p>
    <w:p w:rsidRPr="2030048C" w:rsidP="2030048C">
      <w:pPr>
        <w:pStyle w:val="Heading2"/>
        <w:ind w:left="570"/>
        <w:outlineLvl w:val="1"/>
        <w:rPr>
          <w:rFonts w:ascii="Arial" w:eastAsia="Arial" w:hAnsi="Arial" w:cs="Arial"/>
          <w:sz w:val="24"/>
          <w:szCs w:val="24"/>
        </w:rPr>
      </w:pPr>
      <w:r w:rsidRPr="2030048C">
        <w:rPr>
          <w:rFonts w:ascii="Arial" w:eastAsia="Arial" w:hAnsi="Arial" w:cs="Arial"/>
          <w:sz w:val="24"/>
          <w:szCs w:val="24"/>
        </w:rPr>
        <w:t> </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The University has policies and procedures for evaluating and improving the quality and standards of its provision. These include:</w:t>
      </w:r>
    </w:p>
    <w:p w:rsidR="3D0EBCB8" w:rsidRPr="2030048C" w:rsidP="2030048C">
      <w:pPr>
        <w:numPr>
          <w:ilvl w:val="0"/>
          <w:numId w:val="35"/>
        </w:numPr>
        <w:ind w:left="720" w:hanging="360"/>
        <w:jc w:val="left"/>
        <w:rPr>
          <w:rFonts w:ascii="Arial" w:eastAsia="Arial" w:hAnsi="Arial" w:cs="Arial"/>
          <w:sz w:val="24"/>
          <w:szCs w:val="24"/>
        </w:rPr>
      </w:pPr>
      <w:r w:rsidRPr="2030048C">
        <w:rPr>
          <w:rFonts w:ascii="Arial" w:eastAsia="Arial" w:hAnsi="Arial" w:cs="Arial"/>
          <w:sz w:val="24"/>
          <w:szCs w:val="24"/>
        </w:rPr>
        <w:t>Continuous Monitoring of courses through the Kingston Course Enhancement Programme (KCEP)</w:t>
      </w:r>
    </w:p>
    <w:p w:rsidR="3D0EBCB8" w:rsidRPr="2030048C" w:rsidP="2030048C">
      <w:pPr>
        <w:numPr>
          <w:ilvl w:val="0"/>
          <w:numId w:val="35"/>
        </w:numPr>
        <w:ind w:left="720" w:hanging="360"/>
        <w:jc w:val="left"/>
        <w:rPr>
          <w:rFonts w:ascii="Arial" w:eastAsia="Arial" w:hAnsi="Arial" w:cs="Arial"/>
          <w:sz w:val="24"/>
          <w:szCs w:val="24"/>
        </w:rPr>
      </w:pPr>
      <w:r w:rsidRPr="2030048C">
        <w:rPr>
          <w:rFonts w:ascii="Arial" w:eastAsia="Arial" w:hAnsi="Arial" w:cs="Arial"/>
          <w:sz w:val="24"/>
          <w:szCs w:val="24"/>
        </w:rPr>
        <w:t>Student evaluation including Module Evaluation Questionnaires (MEQs), the National Student Survey (NSS)</w:t>
      </w:r>
    </w:p>
    <w:p w:rsidR="3D0EBCB8" w:rsidRPr="2030048C" w:rsidP="2030048C">
      <w:pPr>
        <w:numPr>
          <w:ilvl w:val="0"/>
          <w:numId w:val="35"/>
        </w:numPr>
        <w:ind w:left="720" w:hanging="360"/>
        <w:jc w:val="left"/>
        <w:rPr>
          <w:rFonts w:ascii="Arial" w:eastAsia="Arial" w:hAnsi="Arial" w:cs="Arial"/>
          <w:sz w:val="24"/>
          <w:szCs w:val="24"/>
        </w:rPr>
      </w:pPr>
      <w:r w:rsidRPr="2030048C">
        <w:rPr>
          <w:rFonts w:ascii="Arial" w:eastAsia="Arial" w:hAnsi="Arial" w:cs="Arial"/>
          <w:sz w:val="24"/>
          <w:szCs w:val="24"/>
        </w:rPr>
        <w:t>Internal and external moderation of graded assignments</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The Foundation year in Science represents level 3 of extended degree programmes and as such are not subject to QAA subject benchmarks </w:t>
      </w:r>
    </w:p>
    <w:p w:rsidRPr="2030048C" w:rsidP="2030048C">
      <w:pPr>
        <w:rPr>
          <w:rFonts w:ascii="Arial" w:eastAsia="Arial" w:hAnsi="Arial" w:cs="Arial"/>
          <w:sz w:val="24"/>
          <w:szCs w:val="24"/>
        </w:rPr>
      </w:pPr>
      <w:r w:rsidRPr="2030048C">
        <w:rPr>
          <w:rFonts w:ascii="Arial" w:eastAsia="Arial" w:hAnsi="Arial" w:cs="Arial"/>
          <w:sz w:val="24"/>
          <w:szCs w:val="24"/>
        </w:rPr>
        <w:t>However, the programme outcomes do take account of the QAA subject benchmarks for Biomedical Science (2023), Biosciences (2023), Chemistry (2022), Events, Hospitality, Leisure, Sport and Tourism (2019), and Forensic Science (2022).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 </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3121"/>
        <w:gridCol w:w="367"/>
        <w:gridCol w:w="901"/>
        <w:gridCol w:w="901"/>
        <w:gridCol w:w="901"/>
        <w:gridCol w:w="901"/>
        <w:gridCol w:w="901"/>
        <w:gridCol w:w="901"/>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6"/>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3</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LS3001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LS3004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LS3002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LS3003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LS3005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LS3006</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bl>
    <w:p w:rsidR="00CE2BD2" w:rsidP="2030048C"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0184B557" w:rsidP="2030048C" w14:paraId="0E005814"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hybridMultilevel"/>
    <w:tmpl w:val="74989B0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74989B0C"/>
    <w:multiLevelType w:val="hybridMultilevel"/>
    <w:tmpl w:val="74989B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74989B0D"/>
    <w:multiLevelType w:val="multilevel"/>
    <w:tmpl w:val="74989B0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74989B0E"/>
    <w:multiLevelType w:val="hybridMultilevel"/>
    <w:tmpl w:val="74989B0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74989B0F"/>
    <w:multiLevelType w:val="hybridMultilevel"/>
    <w:tmpl w:val="74989B0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74989B10"/>
    <w:multiLevelType w:val="hybridMultilevel"/>
    <w:tmpl w:val="74989B1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74989B11"/>
    <w:multiLevelType w:val="hybridMultilevel"/>
    <w:tmpl w:val="74989B1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74989B12"/>
    <w:multiLevelType w:val="hybridMultilevel"/>
    <w:tmpl w:val="74989B1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74989B13"/>
    <w:multiLevelType w:val="hybridMultilevel"/>
    <w:tmpl w:val="74989B1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74989B14"/>
    <w:multiLevelType w:val="hybridMultilevel"/>
    <w:tmpl w:val="74989B1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74989B15"/>
    <w:multiLevelType w:val="hybridMultilevel"/>
    <w:tmpl w:val="74989B1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74989B16"/>
    <w:multiLevelType w:val="hybridMultilevel"/>
    <w:tmpl w:val="74989B1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74989B17"/>
    <w:multiLevelType w:val="hybridMultilevel"/>
    <w:tmpl w:val="74989B1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74989B18"/>
    <w:multiLevelType w:val="hybridMultilevel"/>
    <w:tmpl w:val="74989B1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74989B19"/>
    <w:multiLevelType w:val="hybridMultilevel"/>
    <w:tmpl w:val="74989B1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74989B1A"/>
    <w:multiLevelType w:val="hybridMultilevel"/>
    <w:tmpl w:val="74989B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74989B1B"/>
    <w:multiLevelType w:val="hybridMultilevel"/>
    <w:tmpl w:val="74989B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74989B1C"/>
    <w:multiLevelType w:val="hybridMultilevel"/>
    <w:tmpl w:val="74989B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74989B1D"/>
    <w:multiLevelType w:val="hybridMultilevel"/>
    <w:tmpl w:val="74989B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officeforstudents.org.uk/media/53821cbf-5779-4380-bf2a-aa8f5c53ecd4/sector-recognised-standards.pdf"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