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MSc</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International Business Management</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09/11/2023</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05/08/2026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11</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Business and Social Sciences</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Kingston Business School</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Management (CC0022)</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GISMA University of Applied Sciences GmbH, Germany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MSc</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International Business Management</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Postgraduate Diploma in International Business Management</w:t>
            </w:r>
          </w:p>
          <w:p w:rsidR="72431AC7" w:rsidP="2030048C" w14:paraId="3E314738" w14:textId="6100E87F">
            <w:pPr>
              <w:rPr>
                <w:rFonts w:ascii="Arial" w:eastAsia="Arial" w:hAnsi="Arial" w:cs="Arial"/>
                <w:b w:val="0"/>
                <w:bCs w:val="0"/>
                <w:sz w:val="24"/>
                <w:szCs w:val="24"/>
                <w:lang w:val="en-GB"/>
              </w:rPr>
            </w:pP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Postgraduate Certificate in International Business Management</w:t>
            </w: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PPIMG1BER21</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GISMA University of Applied Sciences GmbH, Germany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GISMA University of Applied Sciences, Berlin Potsdamer Str. Campus, Berlin Donau Str. Campus &amp; Potsdam Konrad-Zuse-Ring Campus, Germany</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Category 1: Primarily in person (0-20% of scheduled L&amp;T hours delivered online)</w:t>
            </w: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2</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4</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postgraduate taught course requirements are based on having been awarded a relevant undergraduate degree and are normally coupled with minimum grades expectation of 2:2, specific courses in certain areas may have a stricter grade requirement. We may also use interview, portfolio and performance pieces to assess a person's suitability for some courses. We recognise that every person's journey to a postgraduate taught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Business School holds an international accreditation by the AACSB (Association to Advance Collegiate Schools of Business) and this programme is accredited by the Association of MBAs (AMBA)</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tbl>
            <w:tblPr>
              <w:tblStyle w:val="MsoTableGrid"/>
              <w:tblCellSpacing w:w="15" w:type="dxa"/>
              <w:tblCellMar>
                <w:top w:w="15" w:type="dxa"/>
                <w:left w:w="15" w:type="dxa"/>
                <w:bottom w:w="15" w:type="dxa"/>
                <w:right w:w="15" w:type="dxa"/>
              </w:tblCellMar>
              <w:tblLook w:val="05E0"/>
            </w:tblPr>
            <w:tblGrid>
              <w:gridCol w:w="5674"/>
            </w:tblGrid>
            <w:tr>
              <w:tblPrEx>
                <w:tblLook w:val="05E0"/>
              </w:tblPrEx>
              <w:tc>
                <w:tcPr>
                  <w:noWrap w:val="0"/>
                  <w:tcMar>
                    <w:top w:w="15" w:type="dxa"/>
                    <w:left w:w="15" w:type="dxa"/>
                    <w:bottom w:w="15" w:type="dxa"/>
                    <w:right w:w="15" w:type="dxa"/>
                  </w:tcMar>
                  <w:vAlign w:val="center"/>
                  <w:hideMark/>
                </w:tcPr>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This programme is approved to use 15-credit modules.</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 </w:t>
                  </w:r>
                </w:p>
              </w:tc>
            </w:tr>
          </w:tbl>
          <w:p w:rsidR="792E11A3" w:rsidP="158602C4" w14:paraId="155FC85F"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main aims of this programme are to provide students with the opportunity to:</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follow a broad-based internationally focused business management Masters programme that will provide a bridge or conversion for non-business/management undergraduate degrees or top-up with some specialisation for those who have a relevant undergraduate programme.</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practical management skills appropriate for employability</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academic critical skills of reflection, analysis, and evaluation</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consultation and project management skills</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provide a means of reflection in preparation for assuming management roles within organisations.</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get a head start on the employment ladder, preparing them for employment, further study and lifelong learning</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 xml:space="preserve">Critically evaluate different perspectives in management and business, and the value of each </w:t>
            </w:r>
          </w:p>
          <w:p w:rsidR="3A9B68BE" w:rsidRPr="2030048C" w:rsidP="2030048C">
            <w:pPr>
              <w:rPr>
                <w:rStyle w:val="normaltextrun"/>
                <w:rFonts w:ascii="Arial" w:eastAsia="Arial" w:hAnsi="Arial" w:cs="Arial"/>
                <w:color w:val="000000"/>
                <w:sz w:val="24"/>
                <w:szCs w:val="24"/>
                <w:shd w:val="clear" w:color="auto" w:fill="FFFFFF"/>
                <w:lang w:val="en-GB"/>
              </w:rPr>
            </w:pPr>
            <w:r w:rsidRPr="2030048C">
              <w:rPr>
                <w:rStyle w:val="normaltextrun"/>
                <w:rFonts w:ascii="Arial" w:eastAsia="Arial" w:hAnsi="Arial" w:cs="Arial"/>
                <w:color w:val="000000"/>
                <w:sz w:val="24"/>
                <w:szCs w:val="24"/>
                <w:shd w:val="clear" w:color="auto" w:fill="FFFFFF"/>
                <w:lang w:val="en-GB"/>
              </w:rPr>
              <w:t>standpoint</w:t>
            </w:r>
            <w:r w:rsidRPr="2030048C">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Think in a critically reflective and creative manner</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Assemble and analyse qualitative and quantitative data (as appropriate) from a wide variety of sources using different techniques and tools.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Articulate relevance and importance of international business knowledge to the business communities of a modern society</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Organise and analyse and solve complex problems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Present and communicate ideas using ICT software tools to an audience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 xml:space="preserve">Describe and explain the </w:t>
            </w:r>
          </w:p>
          <w:p w:rsidR="3A9B68BE" w:rsidRPr="2030048C" w:rsidP="2030048C">
            <w:pPr>
              <w:rPr>
                <w:rStyle w:val="normaltextrun"/>
                <w:rFonts w:ascii="Arial" w:eastAsia="Arial" w:hAnsi="Arial" w:cs="Arial"/>
                <w:color w:val="000000"/>
                <w:sz w:val="24"/>
                <w:szCs w:val="24"/>
                <w:shd w:val="clear" w:color="auto" w:fill="FFFFFF"/>
                <w:lang w:val="en-GB"/>
              </w:rPr>
            </w:pPr>
            <w:r w:rsidRPr="2030048C">
              <w:rPr>
                <w:rStyle w:val="normaltextrun"/>
                <w:rFonts w:ascii="Arial" w:eastAsia="Arial" w:hAnsi="Arial" w:cs="Arial"/>
                <w:color w:val="000000"/>
                <w:sz w:val="24"/>
                <w:szCs w:val="24"/>
                <w:shd w:val="clear" w:color="auto" w:fill="FFFFFF"/>
                <w:lang w:val="en-GB"/>
              </w:rPr>
              <w:t>international, multi-cultural and globally pervasive nature of business in society</w:t>
            </w:r>
            <w:r w:rsidRPr="2030048C">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Operate as flexible and skilled business professionals.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 xml:space="preserve">Explain the theoretical bases of the range of business disciplines which will enable them to contribute to developments in these fields, to </w:t>
            </w:r>
          </w:p>
          <w:p w:rsidR="3A9B68BE" w:rsidRPr="2030048C" w:rsidP="2030048C">
            <w:pPr>
              <w:rPr>
                <w:rStyle w:val="normaltextrun"/>
                <w:rFonts w:ascii="Arial" w:eastAsia="Arial" w:hAnsi="Arial" w:cs="Arial"/>
                <w:color w:val="000000"/>
                <w:sz w:val="24"/>
                <w:szCs w:val="24"/>
                <w:shd w:val="clear" w:color="auto" w:fill="FFFFFF"/>
                <w:lang w:val="en-GB"/>
              </w:rPr>
            </w:pPr>
            <w:r w:rsidRPr="2030048C">
              <w:rPr>
                <w:rStyle w:val="normaltextrun"/>
                <w:rFonts w:ascii="Arial" w:eastAsia="Arial" w:hAnsi="Arial" w:cs="Arial"/>
                <w:color w:val="000000"/>
                <w:sz w:val="24"/>
                <w:szCs w:val="24"/>
                <w:shd w:val="clear" w:color="auto" w:fill="FFFFFF"/>
                <w:lang w:val="en-GB"/>
              </w:rPr>
              <w:t>evaluate these developments critically, and to apply this knowledge to inform their practice</w:t>
            </w:r>
            <w:r w:rsidRPr="2030048C">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Develop research and consultancy skills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tbl>
      <w:tblPr>
        <w:tblStyle w:val="Table"/>
        <w:tblCellSpacing w:w="15" w:type="dxa"/>
        <w:tblCellMar>
          <w:top w:w="15" w:type="dxa"/>
          <w:left w:w="15" w:type="dxa"/>
          <w:bottom w:w="15" w:type="dxa"/>
          <w:right w:w="15" w:type="dxa"/>
        </w:tblCellMar>
        <w:tblLook w:val="05E0"/>
      </w:tblPr>
      <w:tblGrid>
        <w:gridCol w:w="107"/>
      </w:tblGrid>
      <w:tr>
        <w:tblPrEx>
          <w:tblLook w:val="05E0"/>
        </w:tblPrEx>
        <w:tc>
          <w:tcPr>
            <w:noWrap w:val="0"/>
            <w:tcMar>
              <w:top w:w="15" w:type="dxa"/>
              <w:left w:w="15" w:type="dxa"/>
              <w:bottom w:w="15" w:type="dxa"/>
              <w:right w:w="15" w:type="dxa"/>
            </w:tcMar>
            <w:vAlign w:val="center"/>
            <w:hideMark/>
          </w:tcPr>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tc>
      </w:tr>
    </w:tbl>
    <w:p w:rsidR="035B6837" w:rsidP="2030048C" w14:paraId="4EB69E2E"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MSc</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International Business Management</w:t>
      </w:r>
    </w:p>
    <w:p w:rsidR="008B5CAF" w:rsidRPr="008B5CAF" w:rsidP="008B5CAF" w14:paraId="22073769" w14:textId="77777777">
      <w:pPr>
        <w:rPr>
          <w:rFonts w:eastAsia="Arial"/>
        </w:rPr>
      </w:pPr>
    </w:p>
    <w:p w:rsidR="035B6837" w:rsidP="2030048C" w14:paraId="40B03009" w14:textId="0280762A">
      <w:pPr>
        <w:rPr>
          <w:rFonts w:ascii="Arial" w:eastAsia="Arial" w:hAnsi="Arial" w:cs="Arial"/>
          <w:color w:val="FF0000"/>
          <w:sz w:val="24"/>
          <w:szCs w:val="24"/>
          <w:lang w:val="en-GB"/>
        </w:rPr>
      </w:pPr>
    </w:p>
    <w:tbl>
      <w:tblPr>
        <w:tblW w:w="9102"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00"/>
        <w:gridCol w:w="855"/>
        <w:gridCol w:w="1290"/>
        <w:gridCol w:w="1425"/>
        <w:gridCol w:w="840"/>
        <w:gridCol w:w="780"/>
      </w:tblGrid>
      <w:tr w14:paraId="71AFE37F" w14:textId="77777777" w:rsidTr="2030048C">
        <w:tblPrEx>
          <w:tblW w:w="9102" w:type="dxa"/>
          <w:tblLayout w:type="fixed"/>
          <w:tblLook w:val="04A0"/>
        </w:tblPrEx>
        <w:trPr>
          <w:trHeight w:val="300"/>
        </w:trPr>
        <w:tc>
          <w:tcPr>
            <w:tcW w:w="9102"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FED1A6C" w14:textId="7DED4979">
            <w:pPr>
              <w:rPr>
                <w:rFonts w:ascii="Arial" w:eastAsia="Arial" w:hAnsi="Arial" w:cs="Arial"/>
                <w:sz w:val="24"/>
                <w:szCs w:val="24"/>
              </w:rPr>
            </w:pPr>
            <w:r w:rsidRPr="540725A5" w:rsidR="073AEBF5">
              <w:rPr>
                <w:rFonts w:ascii="Arial" w:eastAsia="Arial" w:hAnsi="Arial" w:cs="Arial"/>
                <w:b/>
                <w:bCs/>
                <w:sz w:val="24"/>
                <w:szCs w:val="24"/>
              </w:rPr>
              <w:t>Level 7</w:t>
            </w:r>
          </w:p>
        </w:tc>
      </w:tr>
      <w:tr w14:paraId="139AD8FB" w14:textId="77777777" w:rsidTr="2030048C">
        <w:tblPrEx>
          <w:tblW w:w="9102" w:type="dxa"/>
          <w:tblLayout w:type="fixed"/>
          <w:tblLook w:val="04A0"/>
        </w:tblPrEx>
        <w:trPr>
          <w:trHeight w:val="300"/>
        </w:trPr>
        <w:tc>
          <w:tcPr>
            <w:tcW w:w="9102"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13AEE08A" w14:textId="04AD99BB">
            <w:pPr>
              <w:rPr>
                <w:rFonts w:ascii="Arial" w:eastAsia="Arial" w:hAnsi="Arial" w:cs="Arial"/>
                <w:sz w:val="24"/>
                <w:szCs w:val="24"/>
                <w:lang w:val="en-GB"/>
              </w:rPr>
            </w:pPr>
            <w:r w:rsidRPr="2030048C" w:rsidR="073AEBF5">
              <w:rPr>
                <w:rFonts w:ascii="Arial" w:eastAsia="Arial" w:hAnsi="Arial" w:cs="Arial"/>
                <w:b/>
                <w:bCs/>
                <w:sz w:val="24"/>
                <w:szCs w:val="24"/>
                <w:lang w:val="en-GB"/>
              </w:rPr>
              <w:t>MSc</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International Business Management</w:t>
            </w:r>
          </w:p>
        </w:tc>
      </w:tr>
      <w:tr w14:paraId="17F545EC"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712A2F4" w14:textId="5D3159E8">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DE44822" w14:textId="370DEB0D">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0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682DDAC" w14:textId="7632641C">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8959CE7" w14:textId="32058C1F">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5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F10451" w14:textId="7589CBB4">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9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545B4B5" w14:textId="7BC73E54">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48F0ED" w14:textId="067A2623">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492A657" w14:textId="0904B65F">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14B2760" w14:textId="10C59919">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0955DF1B"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1183CA" w14:textId="2907D938">
            <w:pPr>
              <w:rPr>
                <w:rFonts w:ascii="Arial" w:eastAsia="Arial" w:hAnsi="Arial" w:cs="Arial"/>
                <w:sz w:val="24"/>
                <w:szCs w:val="24"/>
                <w:lang w:val="en-GB"/>
              </w:rPr>
            </w:pPr>
            <w:r w:rsidRPr="2030048C" w:rsidR="073AEBF5">
              <w:rPr>
                <w:rFonts w:ascii="Arial" w:eastAsia="Arial" w:hAnsi="Arial" w:cs="Arial"/>
                <w:sz w:val="24"/>
                <w:szCs w:val="24"/>
                <w:lang w:val="en-GB"/>
              </w:rPr>
              <w:t>Consultancy in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EBB265B"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BS7032</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CB7B88"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9D498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58AA96"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DB6136F"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9EE52D"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0175FBF0" w14:textId="02375C06">
            <w:pPr>
              <w:pStyle w:val="paragraph"/>
              <w:spacing w:before="0" w:beforeAutospacing="0" w:after="0" w:afterAutospacing="0"/>
              <w:jc w:val="center"/>
              <w:rPr>
                <w:rFonts w:ascii="Arial" w:eastAsia="Arial" w:hAnsi="Arial" w:cs="Arial"/>
                <w:sz w:val="24"/>
                <w:szCs w:val="24"/>
              </w:rPr>
            </w:pPr>
          </w:p>
        </w:tc>
      </w:tr>
      <w:tr w14:paraId="0955DF1C"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GISMA Project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BS7002</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4 RPL</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p>
        </w:tc>
      </w:tr>
      <w:tr w14:paraId="0955DF1D"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Global Management Practices and Careers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BH7020</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p>
        </w:tc>
      </w:tr>
      <w:tr w14:paraId="0955DF1E"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International Business and Trade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BS7005</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p>
        </w:tc>
      </w:tr>
      <w:tr w14:paraId="0955DF1F"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International Business Strategy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BS7014</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p>
        </w:tc>
      </w:tr>
      <w:tr w14:paraId="0955DF20"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Managing in Rapidly Changing Business Environments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BS7009</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p>
        </w:tc>
      </w:tr>
      <w:tr w14:paraId="0955DF21"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Managing Operations and Financial Resources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BA7013</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p>
        </w:tc>
      </w:tr>
      <w:tr w14:paraId="0955DF22"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MIBM Gisma</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BS7001</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3 RPL</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p>
        </w:tc>
      </w:tr>
    </w:tbl>
    <w:p w:rsidR="66934EB1" w:rsidP="5C72847F" w14:paraId="51429AB4" w14:textId="4CCC5C4C">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3F933349" w14:textId="43C2D2B2">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22C556D0">
        <w:rPr>
          <w:rFonts w:ascii="Arial" w:eastAsia="Arial" w:hAnsi="Arial" w:cs="Arial"/>
          <w:color w:val="000000" w:themeColor="text1" w:themeShade="FF" w:themeTint="FF"/>
          <w:sz w:val="24"/>
          <w:szCs w:val="24"/>
        </w:rPr>
        <w:t>Exit Awards at Level 7</w:t>
      </w:r>
    </w:p>
    <w:p w:rsidR="66934EB1" w:rsidP="5C72847F" w14:paraId="14DA60C4" w14:textId="4BC9AF03">
      <w:pPr>
        <w:rPr>
          <w:rFonts w:ascii="Arial" w:eastAsia="Arial" w:hAnsi="Arial" w:cs="Arial"/>
          <w:color w:val="0070C0"/>
          <w:sz w:val="24"/>
          <w:szCs w:val="24"/>
        </w:rPr>
      </w:pPr>
    </w:p>
    <w:p w:rsidR="22C556D0" w:rsidRPr="2030048C" w:rsidP="2030048C" w14:paraId="203697D8" w14:textId="4B9BAAF3">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Credit from modules offered by GISMA in Teaching Blocks 3 and 4 of years 1 and 2 will replace the optional modules.</w:t>
      </w:r>
    </w:p>
    <w:p w:rsidR="22C556D0"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with 60 level 7 credits are eligible for the award of PgCert in International Business Management.</w:t>
      </w:r>
    </w:p>
    <w:p w:rsidR="22C556D0"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with 120 level 7 credits are eligible for the award of PgDip in in International Business Management.</w:t>
      </w:r>
    </w:p>
    <w:p w:rsidR="66934EB1" w:rsidP="2030048C" w14:textId="4B9BAAF3">
      <w:pPr>
        <w:rPr>
          <w:rFonts w:ascii="Arial" w:eastAsia="Arial" w:hAnsi="Arial" w:cs="Arial"/>
          <w:color w:val="000000" w:themeColor="text1" w:themeShade="FF" w:themeTint="FF"/>
          <w:sz w:val="24"/>
          <w:szCs w:val="24"/>
          <w:lang w:val="en-GB"/>
        </w:rPr>
      </w:pPr>
    </w:p>
    <w:p w:rsidR="66934EB1" w:rsidP="540725A5" w14:paraId="157FBA1E" w14:textId="4E7BC9F4">
      <w:pPr>
        <w:rPr>
          <w:rFonts w:ascii="Arial" w:eastAsia="Arial" w:hAnsi="Arial" w:cs="Arial"/>
          <w:color w:val="000000" w:themeColor="text1"/>
          <w:sz w:val="24"/>
          <w:szCs w:val="24"/>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jc w:val="both"/>
        <w:rPr>
          <w:rFonts w:ascii="Arial" w:eastAsia="Arial" w:hAnsi="Arial" w:cs="Arial"/>
          <w:sz w:val="24"/>
          <w:szCs w:val="24"/>
        </w:rPr>
      </w:pPr>
      <w:r w:rsidRPr="2030048C">
        <w:rPr>
          <w:rFonts w:ascii="Arial" w:eastAsia="Arial" w:hAnsi="Arial" w:cs="Arial"/>
          <w:color w:val="000000"/>
          <w:sz w:val="24"/>
          <w:szCs w:val="24"/>
        </w:rPr>
        <w:t>The teaching and learning philosophy of the programme is to engage students actively and to enable students to develop their ability to study independently and work as part of a team at Masters level. This is achieved by encouraging them to question and critically assess business issues, to find innovative options and solutions. Successful managers combine these skills with comprehensive business knowledge to achieve their objectives. Students will build their understanding across a broad range of modules, with a core legal element built in through the International Business Environment and Trade module. Regular guest speakers add to the expertise of the lecturing staff and provide their own perspectives on current events. The range of teaching strategies will include lectures, workshops, seminars, presentations, action learning sets, and individual personal supervision.</w:t>
      </w:r>
    </w:p>
    <w:p w:rsidRPr="2030048C" w:rsidP="2030048C">
      <w:pPr>
        <w:jc w:val="both"/>
        <w:rPr>
          <w:rFonts w:ascii="Arial" w:eastAsia="Arial" w:hAnsi="Arial" w:cs="Arial"/>
          <w:sz w:val="24"/>
          <w:szCs w:val="24"/>
        </w:rPr>
      </w:pPr>
      <w:r w:rsidRPr="2030048C">
        <w:rPr>
          <w:rFonts w:ascii="Arial" w:eastAsia="Arial" w:hAnsi="Arial" w:cs="Arial"/>
          <w:sz w:val="24"/>
          <w:szCs w:val="24"/>
        </w:rPr>
        <w:t> </w:t>
      </w:r>
    </w:p>
    <w:p w:rsidRPr="2030048C" w:rsidP="2030048C">
      <w:pPr>
        <w:jc w:val="both"/>
        <w:rPr>
          <w:rFonts w:ascii="Arial" w:eastAsia="Arial" w:hAnsi="Arial" w:cs="Arial"/>
          <w:sz w:val="24"/>
          <w:szCs w:val="24"/>
        </w:rPr>
      </w:pPr>
      <w:r w:rsidRPr="2030048C">
        <w:rPr>
          <w:rFonts w:ascii="Arial" w:eastAsia="Arial" w:hAnsi="Arial" w:cs="Arial"/>
          <w:color w:val="000000"/>
          <w:sz w:val="24"/>
          <w:szCs w:val="24"/>
        </w:rPr>
        <w:t>From an academic perspective, assessment is planned to reflect the aims and to achieve the learning outcomes of the programme. It is designed to monitor student performance regularly in the context of specific requirements of individual subjects, the personal and group management skills required in business, the theoretical background and applied skills necessary for effective use of business tools and ultimately the knowledge and skills essential to meet the overall requirements of a Master's degree.</w:t>
      </w:r>
    </w:p>
    <w:p w:rsidRPr="2030048C" w:rsidP="2030048C">
      <w:pPr>
        <w:jc w:val="both"/>
        <w:rPr>
          <w:rFonts w:ascii="Arial" w:eastAsia="Arial" w:hAnsi="Arial" w:cs="Arial"/>
          <w:sz w:val="24"/>
          <w:szCs w:val="24"/>
        </w:rPr>
      </w:pPr>
      <w:r w:rsidRPr="2030048C">
        <w:rPr>
          <w:rFonts w:ascii="Arial" w:eastAsia="Arial" w:hAnsi="Arial" w:cs="Arial"/>
          <w:color w:val="000000"/>
          <w:sz w:val="24"/>
          <w:szCs w:val="24"/>
        </w:rPr>
        <w:t xml:space="preserve">Our assessment methods mirror the realities of business. Time-constrained coursework, for example, simulates work situations where managers have only a few days to prepare a report with strategic options. Each method of assessment is designed to draw out a student’s inquisitive, questioning and critical thinking ability, so that students enter the executive job marketplace with a strong management skillset. The overall assessment arrangements for this programme are based on an appropriate mix of assessment approaches. The rationale for time-limited and continuous assessment is to additionally support a student-centred learning approach, in which the student's ability to write (in such formats as essays, reports, industry briefing papers and reflective statements) and to offer evidence of in-depth research and analysis, will be assessed. </w:t>
      </w:r>
    </w:p>
    <w:p w:rsidRPr="2030048C" w:rsidP="2030048C">
      <w:pPr>
        <w:jc w:val="both"/>
        <w:rPr>
          <w:rFonts w:ascii="Arial" w:eastAsia="Arial" w:hAnsi="Arial" w:cs="Arial"/>
          <w:sz w:val="24"/>
          <w:szCs w:val="24"/>
        </w:rPr>
      </w:pPr>
      <w:r w:rsidRPr="2030048C">
        <w:rPr>
          <w:rFonts w:ascii="Arial" w:eastAsia="Arial" w:hAnsi="Arial" w:cs="Arial"/>
          <w:color w:val="000000"/>
          <w:sz w:val="24"/>
          <w:szCs w:val="24"/>
        </w:rPr>
        <w:t>To enhance students’ employability, they also have the opportunity to attend a range of university- and school-facilitated career events during the course of their study.</w:t>
      </w:r>
    </w:p>
    <w:p w:rsidRPr="2030048C" w:rsidP="2030048C">
      <w:pPr>
        <w:jc w:val="both"/>
        <w:rPr>
          <w:rFonts w:ascii="Arial" w:eastAsia="Arial" w:hAnsi="Arial" w:cs="Arial"/>
          <w:sz w:val="24"/>
          <w:szCs w:val="24"/>
        </w:rPr>
      </w:pPr>
      <w:r w:rsidRPr="2030048C">
        <w:rPr>
          <w:rFonts w:ascii="Arial" w:eastAsia="Arial" w:hAnsi="Arial" w:cs="Arial"/>
          <w:color w:val="000000"/>
          <w:sz w:val="24"/>
          <w:szCs w:val="24"/>
        </w:rPr>
        <w:t>At Kingston University, we're passionate about enhancing our students' life chances by helping them make the most of their learning opportunities and equipping them with the future skills and knowledge needed in the 21st Century's demanding workplace, so when you choose to study an undergraduate course at Kingston, you know that you will gain more than a degree. The development of Future Skills is ingrained throughout every year of every course, ensuring you learn employability enhancing skills with your subject. At GISMA, SkillsSprintWeek embeds the development of Future Skills in every module, every term, every year. Adaptability, collaboration, creative problem solving, digital competency, empathy, enterprising, questioning mindset, resilience and self-awareness are among the skills which you will be asked to prepare for, practice, be assessed and reflect on every term, alongside learning objectives relevant to each module you are taught. In every run, you will develop your expertise, personalise your learning and demonstrate the skills you've gained.</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jc w:val="both"/>
        <w:rPr>
          <w:rFonts w:ascii="Arial" w:eastAsia="Arial" w:hAnsi="Arial" w:cs="Arial"/>
          <w:sz w:val="24"/>
          <w:szCs w:val="24"/>
        </w:rPr>
      </w:pPr>
      <w:r w:rsidRPr="2030048C">
        <w:rPr>
          <w:rFonts w:ascii="Arial" w:eastAsia="Arial" w:hAnsi="Arial" w:cs="Arial"/>
          <w:sz w:val="24"/>
          <w:szCs w:val="24"/>
        </w:rPr>
        <w:t>Students are supported by:</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A Personal Tutor. Each student will have their own personal tutor who will normally stay with them throughout their course. The tutor will instigate regular meetings throughout the student’s time at university, providing support, guidance and encouragement to their tutees throughout the programme. Topics such as academic performance, future career aims and the tutee’s personal learning journey will be discussed.  Tutors not only support academic performance but also are there to listen to non-academic concerns such as adapting to a new environment/country, family concerns, illness or homesickness. They are also there to help celebrate success. Personal tutors are a great resource for international students, giving them a named academic who will be able to direct them to relevant services and procedures.</w:t>
      </w:r>
    </w:p>
    <w:p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A Course Director. The Course Director helps students to understand the programme structure, the academic regulations and what is required at the various levels of study. </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A Student Administrative Support team. The student support team helps with general administrative aspects such as timetables issues and providing letters.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An Academic Learning Centre. The ALC can provide advice and guidance on academic matters and hold one-to-one or group sessions to support students in enhancing their study skills.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 xml:space="preserve">The </w:t>
      </w:r>
      <w:hyperlink r:id="rId11" w:history="1">
        <w:r w:rsidRPr="2030048C">
          <w:rPr>
            <w:rFonts w:ascii="Arial" w:eastAsia="Arial" w:hAnsi="Arial" w:cs="Arial"/>
            <w:sz w:val="24"/>
            <w:szCs w:val="24"/>
          </w:rPr>
          <w:t>Careers Centre</w:t>
        </w:r>
      </w:hyperlink>
      <w:r w:rsidRPr="2030048C">
        <w:rPr>
          <w:rFonts w:ascii="Arial" w:eastAsia="Arial" w:hAnsi="Arial" w:cs="Arial"/>
          <w:sz w:val="24"/>
          <w:szCs w:val="24"/>
        </w:rPr>
        <w:t xml:space="preserve"> provides valuable guidance which develop students’ professional skills, supporting them with internships and/or placements and organising careers events.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Student mentors. Mentors are students who have previously studied the modules and provide support and mentoring to newer students.</w:t>
      </w:r>
    </w:p>
    <w:p w:rsidRPr="2030048C" w:rsidP="2030048C">
      <w:pPr>
        <w:numPr>
          <w:ilvl w:val="0"/>
          <w:numId w:val="15"/>
        </w:numPr>
        <w:ind w:left="720" w:hanging="360"/>
        <w:jc w:val="left"/>
        <w:rPr>
          <w:rFonts w:ascii="Arial" w:eastAsia="Arial" w:hAnsi="Arial" w:cs="Arial"/>
          <w:sz w:val="24"/>
          <w:szCs w:val="24"/>
        </w:rPr>
      </w:pPr>
      <w:hyperlink r:id="rId12" w:history="1">
        <w:r w:rsidRPr="2030048C">
          <w:rPr>
            <w:rFonts w:ascii="Arial" w:eastAsia="Arial" w:hAnsi="Arial" w:cs="Arial"/>
            <w:sz w:val="24"/>
            <w:szCs w:val="24"/>
          </w:rPr>
          <w:t>Technical support with IT</w:t>
        </w:r>
      </w:hyperlink>
      <w:r w:rsidRPr="2030048C">
        <w:rPr>
          <w:rFonts w:ascii="Arial" w:eastAsia="Arial" w:hAnsi="Arial" w:cs="Arial"/>
          <w:sz w:val="24"/>
          <w:szCs w:val="24"/>
        </w:rPr>
        <w:t xml:space="preserve"> and the use of software.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An induction period at the start of the programme to introduce students to the university, university life, what is expected of them, the degree programme and each other.</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Ongoing re-induction sessions at appropriate points in the course.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 xml:space="preserve">Access to </w:t>
      </w:r>
      <w:hyperlink r:id="rId13" w:history="1">
        <w:r w:rsidRPr="2030048C">
          <w:rPr>
            <w:rFonts w:ascii="Arial" w:eastAsia="Arial" w:hAnsi="Arial" w:cs="Arial"/>
            <w:sz w:val="24"/>
            <w:szCs w:val="24"/>
          </w:rPr>
          <w:t>English language support</w:t>
        </w:r>
      </w:hyperlink>
      <w:r w:rsidRPr="2030048C">
        <w:rPr>
          <w:rFonts w:ascii="Arial" w:eastAsia="Arial" w:hAnsi="Arial" w:cs="Arial"/>
          <w:sz w:val="24"/>
          <w:szCs w:val="24"/>
        </w:rPr>
        <w:t xml:space="preserve">, which is particularly useful for international students who do not have English as their first language, and to foreign language tuition via the </w:t>
      </w:r>
      <w:hyperlink r:id="rId14" w:history="1">
        <w:r w:rsidRPr="2030048C">
          <w:rPr>
            <w:rFonts w:ascii="Arial" w:eastAsia="Arial" w:hAnsi="Arial" w:cs="Arial"/>
            <w:sz w:val="24"/>
            <w:szCs w:val="24"/>
          </w:rPr>
          <w:t>GISMA</w:t>
        </w:r>
      </w:hyperlink>
      <w:r w:rsidRPr="2030048C">
        <w:rPr>
          <w:rFonts w:ascii="Arial" w:eastAsia="Arial" w:hAnsi="Arial" w:cs="Arial"/>
          <w:sz w:val="24"/>
          <w:szCs w:val="24"/>
        </w:rPr>
        <w:t xml:space="preserve"> Language School.</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Staff Student Liaison Committee and course representatives to enable students to feed back to staff about the programme.</w:t>
      </w:r>
    </w:p>
    <w:p w:rsidRPr="2030048C" w:rsidP="2030048C">
      <w:pPr>
        <w:numPr>
          <w:ilvl w:val="0"/>
          <w:numId w:val="15"/>
        </w:numPr>
        <w:ind w:left="720" w:hanging="360"/>
        <w:jc w:val="left"/>
        <w:rPr>
          <w:rFonts w:ascii="Arial" w:eastAsia="Arial" w:hAnsi="Arial" w:cs="Arial"/>
          <w:sz w:val="24"/>
          <w:szCs w:val="24"/>
        </w:rPr>
      </w:pPr>
      <w:hyperlink r:id="rId15" w:history="1">
        <w:r w:rsidRPr="2030048C">
          <w:rPr>
            <w:rFonts w:ascii="Arial" w:eastAsia="Arial" w:hAnsi="Arial" w:cs="Arial"/>
            <w:sz w:val="24"/>
            <w:szCs w:val="24"/>
          </w:rPr>
          <w:t>Canvas</w:t>
        </w:r>
      </w:hyperlink>
      <w:r w:rsidRPr="2030048C">
        <w:rPr>
          <w:rFonts w:ascii="Arial" w:eastAsia="Arial" w:hAnsi="Arial" w:cs="Arial"/>
          <w:sz w:val="24"/>
          <w:szCs w:val="24"/>
        </w:rPr>
        <w:t xml:space="preserve"> – a versatile on-line interactive intranet and learning environment.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 xml:space="preserve">Student support facilities that provide advice on issues including </w:t>
      </w:r>
      <w:hyperlink r:id="rId16" w:history="1">
        <w:r w:rsidRPr="2030048C">
          <w:rPr>
            <w:rFonts w:ascii="Arial" w:eastAsia="Arial" w:hAnsi="Arial" w:cs="Arial"/>
            <w:sz w:val="24"/>
            <w:szCs w:val="24"/>
          </w:rPr>
          <w:t>finance</w:t>
        </w:r>
      </w:hyperlink>
      <w:r w:rsidRPr="2030048C">
        <w:rPr>
          <w:rFonts w:ascii="Arial" w:eastAsia="Arial" w:hAnsi="Arial" w:cs="Arial"/>
          <w:sz w:val="24"/>
          <w:szCs w:val="24"/>
        </w:rPr>
        <w:t xml:space="preserve">, </w:t>
      </w:r>
      <w:hyperlink r:id="rId17" w:anchor="ar" w:history="1">
        <w:r w:rsidRPr="2030048C">
          <w:rPr>
            <w:rFonts w:ascii="Arial" w:eastAsia="Arial" w:hAnsi="Arial" w:cs="Arial"/>
            <w:sz w:val="24"/>
            <w:szCs w:val="24"/>
          </w:rPr>
          <w:t>regulations</w:t>
        </w:r>
      </w:hyperlink>
      <w:r w:rsidRPr="2030048C">
        <w:rPr>
          <w:rFonts w:ascii="Arial" w:eastAsia="Arial" w:hAnsi="Arial" w:cs="Arial"/>
          <w:sz w:val="24"/>
          <w:szCs w:val="24"/>
        </w:rPr>
        <w:t xml:space="preserve">, </w:t>
      </w:r>
      <w:hyperlink r:id="rId18" w:history="1">
        <w:r w:rsidRPr="2030048C">
          <w:rPr>
            <w:rFonts w:ascii="Arial" w:eastAsia="Arial" w:hAnsi="Arial" w:cs="Arial"/>
            <w:sz w:val="24"/>
            <w:szCs w:val="24"/>
          </w:rPr>
          <w:t>accommodation</w:t>
        </w:r>
      </w:hyperlink>
      <w:r w:rsidRPr="2030048C">
        <w:rPr>
          <w:rFonts w:ascii="Arial" w:eastAsia="Arial" w:hAnsi="Arial" w:cs="Arial"/>
          <w:sz w:val="24"/>
          <w:szCs w:val="24"/>
        </w:rPr>
        <w:t xml:space="preserve"> and </w:t>
      </w:r>
      <w:hyperlink r:id="rId19" w:history="1">
        <w:r w:rsidRPr="2030048C">
          <w:rPr>
            <w:rFonts w:ascii="Arial" w:eastAsia="Arial" w:hAnsi="Arial" w:cs="Arial"/>
            <w:sz w:val="24"/>
            <w:szCs w:val="24"/>
          </w:rPr>
          <w:t>international student support</w:t>
        </w:r>
      </w:hyperlink>
      <w:r w:rsidRPr="2030048C">
        <w:rPr>
          <w:rFonts w:ascii="Arial" w:eastAsia="Arial" w:hAnsi="Arial" w:cs="Arial"/>
          <w:sz w:val="24"/>
          <w:szCs w:val="24"/>
        </w:rPr>
        <w:t>.</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International students also have the additional benefit of the University’s International Office which supports students for and welcomes students to, Germany and provides support throughout the student’s time at University.</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Disabled student support</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several methods for evaluating and improving the quality and standards of its provision. These include:</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level surveys and the National Student Survey (NSS)</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Moderation policies</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Feedback from employers</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The European Foundation for Management Development (EFMD) awarded EPAS accreditation to the course.</w:t>
      </w:r>
    </w:p>
    <w:p w:rsidR="3D0EBCB8"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The Association of MBAs (AMBA) has accredited the programme as a Pre</w:t>
      </w:r>
      <w:r w:rsidRPr="2030048C">
        <w:rPr>
          <w:rFonts w:ascii="Arial" w:eastAsia="Arial" w:hAnsi="Arial" w:cs="Arial"/>
          <w:sz w:val="24"/>
          <w:szCs w:val="24"/>
        </w:rPr>
        <w:noBreakHyphen/>
        <w:t>Experience Masters in Business Management (MBM).</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include:</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Pr="2030048C" w:rsidP="2030048C">
      <w:pPr>
        <w:rPr>
          <w:rFonts w:ascii="Arial" w:eastAsia="Arial" w:hAnsi="Arial" w:cs="Arial"/>
          <w:sz w:val="24"/>
          <w:szCs w:val="24"/>
        </w:rPr>
      </w:pPr>
      <w:r w:rsidRPr="2030048C">
        <w:rPr>
          <w:rFonts w:ascii="Arial" w:eastAsia="Arial" w:hAnsi="Arial" w:cs="Arial"/>
          <w:sz w:val="24"/>
          <w:szCs w:val="24"/>
        </w:rPr>
        <w:t> </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1651"/>
        <w:gridCol w:w="346"/>
        <w:gridCol w:w="873"/>
        <w:gridCol w:w="873"/>
        <w:gridCol w:w="873"/>
        <w:gridCol w:w="873"/>
        <w:gridCol w:w="886"/>
        <w:gridCol w:w="886"/>
        <w:gridCol w:w="873"/>
        <w:gridCol w:w="876"/>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8"/>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7</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BS7032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BS7014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BS7009</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BS7001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BA7013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BH7020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BS7002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BS7005</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bl>
    <w:p w:rsidR="00CE2BD2"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b/>
          <w:bCs/>
          <w:sz w:val="24"/>
          <w:szCs w:val="24"/>
        </w:rPr>
        <w:t>There are four entry points. The order of these entry points are as follows:</w:t>
      </w:r>
    </w:p>
    <w:p w:rsidRPr="2030048C" w:rsidP="2030048C">
      <w:pPr>
        <w:rPr>
          <w:rFonts w:ascii="Arial" w:eastAsia="Arial" w:hAnsi="Arial" w:cs="Arial"/>
          <w:sz w:val="24"/>
          <w:szCs w:val="24"/>
        </w:rPr>
      </w:pPr>
      <w:r w:rsidRPr="2030048C">
        <w:rPr>
          <w:rFonts w:ascii="Arial" w:eastAsia="Arial" w:hAnsi="Arial" w:cs="Arial"/>
          <w:b/>
          <w:bCs/>
          <w:sz w:val="24"/>
          <w:szCs w:val="24"/>
        </w:rPr>
        <w:t>Standard Codes and Definitions for Teaching Blocks</w:t>
      </w:r>
      <w:r w:rsidRPr="2030048C">
        <w:rPr>
          <w:rFonts w:ascii="Arial" w:eastAsia="Arial" w:hAnsi="Arial" w:cs="Arial"/>
          <w:sz w:val="24"/>
          <w:szCs w:val="24"/>
        </w:rPr>
        <w:br/>
      </w:r>
      <w:r w:rsidRPr="2030048C">
        <w:rPr>
          <w:rFonts w:ascii="Arial" w:eastAsia="Arial" w:hAnsi="Arial" w:cs="Arial"/>
          <w:sz w:val="24"/>
          <w:szCs w:val="24"/>
        </w:rPr>
        <w:t>WS1225- TB1 - January </w:t>
      </w:r>
    </w:p>
    <w:p w:rsidRPr="2030048C" w:rsidP="2030048C">
      <w:pPr>
        <w:rPr>
          <w:rFonts w:ascii="Arial" w:eastAsia="Arial" w:hAnsi="Arial" w:cs="Arial"/>
          <w:sz w:val="24"/>
          <w:szCs w:val="24"/>
        </w:rPr>
      </w:pPr>
      <w:r w:rsidRPr="2030048C">
        <w:rPr>
          <w:rFonts w:ascii="Arial" w:eastAsia="Arial" w:hAnsi="Arial" w:cs="Arial"/>
          <w:sz w:val="24"/>
          <w:szCs w:val="24"/>
        </w:rPr>
        <w:t>SS0326- TB2 -  April</w:t>
      </w:r>
    </w:p>
    <w:p w:rsidRPr="2030048C" w:rsidP="2030048C">
      <w:pPr>
        <w:rPr>
          <w:rFonts w:ascii="Arial" w:eastAsia="Arial" w:hAnsi="Arial" w:cs="Arial"/>
          <w:sz w:val="24"/>
          <w:szCs w:val="24"/>
        </w:rPr>
      </w:pPr>
      <w:r w:rsidRPr="2030048C">
        <w:rPr>
          <w:rFonts w:ascii="Arial" w:eastAsia="Arial" w:hAnsi="Arial" w:cs="Arial"/>
          <w:sz w:val="24"/>
          <w:szCs w:val="24"/>
        </w:rPr>
        <w:t>SS0626 - TB3- July </w:t>
      </w:r>
    </w:p>
    <w:p w:rsidRPr="2030048C" w:rsidP="2030048C">
      <w:pPr>
        <w:rPr>
          <w:rFonts w:ascii="Arial" w:eastAsia="Arial" w:hAnsi="Arial" w:cs="Arial"/>
          <w:sz w:val="24"/>
          <w:szCs w:val="24"/>
        </w:rPr>
      </w:pPr>
      <w:r w:rsidRPr="2030048C">
        <w:rPr>
          <w:rFonts w:ascii="Arial" w:eastAsia="Arial" w:hAnsi="Arial" w:cs="Arial"/>
          <w:sz w:val="24"/>
          <w:szCs w:val="24"/>
        </w:rPr>
        <w:t>WS0926- TB4 - October</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multilevel"/>
    <w:tmpl w:val="74989B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 w:type="table" w:customStyle="1" w:styleId="MsoTableGrid">
    <w:name w:val="MsoTableGrid"/>
    <w:basedOn w:val="TableNormal"/>
    <w:tblPr/>
  </w:style>
  <w:style w:type="table" w:customStyle="1" w:styleId="Table">
    <w:name w:val="Table"/>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yperlink" Target="http://jobscentral.kingston.ac.uk/" TargetMode="External" /><Relationship Id="rId12" Type="http://schemas.openxmlformats.org/officeDocument/2006/relationships/hyperlink" Target="https://www.kingston.ac.uk/information-and-technology-services/service-desk-portal/" TargetMode="External" /><Relationship Id="rId13" Type="http://schemas.openxmlformats.org/officeDocument/2006/relationships/hyperlink" Target="https://kingstonuniversity.sharepoint.com/sites/mykingston/mysupport/ELD/Pages/default.aspx" TargetMode="External" /><Relationship Id="rId14" Type="http://schemas.openxmlformats.org/officeDocument/2006/relationships/hyperlink" Target="https://www.kingston.ac.uk/kingston-language-scheme/" TargetMode="External" /><Relationship Id="rId15" Type="http://schemas.openxmlformats.org/officeDocument/2006/relationships/hyperlink" Target="http://canvas.kingston.ac.uk/" TargetMode="External" /><Relationship Id="rId16" Type="http://schemas.openxmlformats.org/officeDocument/2006/relationships/hyperlink" Target="https://kingstonuniversity.sharepoint.com/sites/mykingston/mysupport/money/Pages/default.aspx" TargetMode="External" /><Relationship Id="rId17" Type="http://schemas.openxmlformats.org/officeDocument/2006/relationships/hyperlink" Target="https://www.kingston.ac.uk/aboutkingstonuniversity/howtheuniversityworks/policiesandregulations/" TargetMode="External" /><Relationship Id="rId18" Type="http://schemas.openxmlformats.org/officeDocument/2006/relationships/hyperlink" Target="https://kingstonuniversity.sharepoint.com/sites/mykingston/mysupport/myaccommodation/Pages/default.aspx" TargetMode="External" /><Relationship Id="rId19" Type="http://schemas.openxmlformats.org/officeDocument/2006/relationships/hyperlink" Target="https://kingstonuniversity.sharepoint.com/sites/mykingston/mysupport/international/Pages/default.aspx" TargetMode="Externa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22"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