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LLB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International Law</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01/01/2013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04/08/2026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01/09/2027</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16</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Law, Social and Behavioural Sciences</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Law (CC0225)</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LLB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Law</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International Law</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BA International Law</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International Law</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UFLLI1LLI20</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3 years full-time (code M100), 4 years sandwich (with year in industry) (code M102); 4 years full-time (with year abroad) (code M103)</w:t>
            </w: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B"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LLB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Law with Foundation Year in Social Sciences</w:t>
            </w:r>
          </w:p>
          <w:p w:rsidR="72431AC7" w:rsidP="540725A5" w14:textId="77777777">
            <w:pPr>
              <w:rPr>
                <w:rFonts w:ascii="Arial" w:eastAsia="Arial" w:hAnsi="Arial" w:cs="Arial"/>
                <w:b w:val="0"/>
                <w:bCs w:val="0"/>
                <w:sz w:val="24"/>
                <w:szCs w:val="24"/>
              </w:rPr>
            </w:pPr>
          </w:p>
        </w:tc>
      </w:tr>
      <w:tr w14:paraId="34BB979C"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International Law with Foundation Year in Social Sciences</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BA International Law with Foundation Year in Social Sciences</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International Law with Foundation Year in Social Sciences</w:t>
            </w:r>
            <w:r>
              <w:br/>
            </w:r>
          </w:p>
        </w:tc>
      </w:tr>
      <w:tr w14:paraId="2A120393"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UFLLI1LLI55</w:t>
            </w:r>
          </w:p>
        </w:tc>
      </w:tr>
      <w:tr w14:paraId="78C565E9"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C"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LLB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Law with Professional Placement</w:t>
            </w:r>
          </w:p>
          <w:p w:rsidR="72431AC7" w:rsidP="540725A5" w14:textId="77777777">
            <w:pPr>
              <w:rPr>
                <w:rFonts w:ascii="Arial" w:eastAsia="Arial" w:hAnsi="Arial" w:cs="Arial"/>
                <w:b w:val="0"/>
                <w:bCs w:val="0"/>
                <w:sz w:val="24"/>
                <w:szCs w:val="24"/>
              </w:rPr>
            </w:pPr>
          </w:p>
        </w:tc>
      </w:tr>
      <w:tr w14:paraId="34BB979D"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(Hons) International Law with Professional Placement</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 HE (Hons) International Law with Professional Placement</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BA International Law with Professional Placement</w:t>
            </w:r>
            <w:r>
              <w:br/>
            </w:r>
          </w:p>
        </w:tc>
      </w:tr>
      <w:tr w14:paraId="2A120394"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UFLLI1LLI94</w:t>
            </w:r>
          </w:p>
        </w:tc>
      </w:tr>
      <w:tr w14:paraId="78C565EA"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School of Law, Social and Behavioural Sciences, Kingston Hill / Penrhyn Road</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foundation year</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foundation year</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foundation year</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8</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None</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i/>
                <w:iCs/>
                <w:color w:val="000000"/>
                <w:sz w:val="24"/>
                <w:szCs w:val="24"/>
                <w:shd w:val="clear" w:color="auto" w:fill="FFFFFF"/>
              </w:rPr>
              <w:t> </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tbl>
            <w:tblPr>
              <w:tblCellSpacing w:w="15" w:type="dxa"/>
              <w:tblCellMar>
                <w:top w:w="15" w:type="dxa"/>
                <w:left w:w="15" w:type="dxa"/>
                <w:bottom w:w="15" w:type="dxa"/>
                <w:right w:w="15" w:type="dxa"/>
              </w:tblCellMar>
            </w:tblPr>
            <w:tblGrid>
              <w:gridCol w:w="5674"/>
            </w:tblGrid>
            <w:tr>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following variants from the Academic Framework requirements have been approved and are in place for this course.  </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option modules be retained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Law, Qualifying Law Degrees (QLD):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Solicitors Regulation Authority and the Bar Standards Board provide that the maximum number of attempts permitted for each of the Foundations of Legal Knowledge within a Qualifying Law Degree (QLD) is normally 3. Therefore, contrary to the Undergraduate Regulations, the maximum number of attempts in the Core modules is 3 for any student wishing to have their LLB recognised as a QLD.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Law, Qualifying Law Degrees (QLD):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Solicitors Regulation Authority and the Bar Standards Board provide that no LLB student may be compensated for more than one of the Foundations of Legal Knowledge over the degree as a whole for a QLD. Therefore, contrary to the Undergraduate Regulations, compensation will only be permitted exceptionally in relation to any Core module of the degree.</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tc>
            </w:tr>
          </w:tbl>
          <w:p w:rsidR="792E11A3" w:rsidP="158602C4" w14:paraId="155FC85F"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LLB International Law has been designed for those who may wish to pursue a career in the legal profession by providing an opportunity to meet the requirement of professional bodies for the academic stage of legal education. This is achieved by the incorporation of the Foundations of Legal Knowledge as core modules on the Course. The Course allows students to specialise in international law.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LLB International Law allows students to develop transferable employability skills, which means it is also appropriate for those who may wish to pursue careers not only in the legal sector but also in other professions, thus providing a wide range of career opportunities. Students take part in the three tiers of the Future Skills Programme of Kingston University.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All students also have the option of studying abroad or working for a year between Levels 5 and 6.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programme prioritises inclusion and diversity, and students are provided with a very high level of support so that they can achieve their potential. This support is not only towards academic achievement but also in developing key skills for confidence and employability.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Understand the fundamental doctrines and principles which underpin the law of England and Wales; demonstrate a knowledge of the sources of that law, and how it is made and developed; demonstrate a knowledge of the institutions within which that law is administered and the personnel who practise that law.</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Develop the capacity for abstract manipulation of complex ideas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TeamworkBe an effective and communicative member of a teamWork as part of a teamReview and evaluate progress of groups and collective performanceIdentify ways of improving the performance of groups and their own contribution to groups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Understand the doctrines and principles which underpin the specialised areas of law which they have chosen to study and an appreciation of the social and other pressures that shape the development of the law.</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undertake systematic management of complex factual information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Communication SkillsContribute effectively to group discussionMake an oral presentation and be able participate in mooting scenariosRead, select, extract and collate information from written, spoken or other appropriate sourcesProduce written materials in a variety of formats using the English language at all times with scrupulous care and accuracyIncorporate in documents either tables, charts, graphs or diagramsBe able to make appropriate use of electronic communication</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acquire intellectual and practical skills needed to research the law on specific matters and to analyse both statute and case law, to apply it to the solution of legal problems and to communicate - both in writing and orally - the results of such work. Students on the American programme will have demonstrated an ability to succeed in a year of academic study in the United States of America. Students on the 4 Year Study Abroad Programme variant will have demonstrated an ability to succeed in a year of academic study in one of the countries in which the university 4 Year Programme operates.Students on the Work Placement variant will have demonstrated their ability to operate effectively in a working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Evidence intelligent critical reading of texts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NumeracyCollect data from primary and secondary sources selectivelyEvaluate and present data in suitable formatsRecord data in an appropriate formatBe able to appreciate  issues of selection, accuracy and uncertainty in the collection and analysis of data</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knowledge of the institutions within which that law is administered</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Construct a logical argument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Information, Communication and TechnologyUse ICT to present text/numerical data and imagesProduce a document that incorporates and combines different types of informationSearch for, retrieve and store information using ICT resourcesUse on-line communications systems, including the learning management system, to obtain and send information</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Show the interpersonal and time management skills required to collaborate with colleagues to achieve organisational goals (Professional Placement route)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awareness of the structure and function of the employing company/organization in relation to the scientific professional environment (Professional Placement route)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Communicate effectively both orally and in writing by discussing and reflecting on their experience of working in a professional environment (Professional Placement route)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All students are provided with the University regulations and specific additions that are sometimes required for accreditation by outside bodies (e.g. professional or statutory bodies that confer professional accreditation).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in the module canvas pages.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Students on the 'with Foundation Year' route should refer to the Foundation Year in Social Sciences </w:t>
      </w:r>
      <w:r w:rsidRPr="2030048C">
        <w:rPr>
          <w:rFonts w:ascii="Arial" w:eastAsia="Arial" w:hAnsi="Arial" w:cs="Arial"/>
          <w:color w:val="000000" w:themeColor="text1" w:themeShade="FF" w:themeTint="FF"/>
          <w:sz w:val="24"/>
          <w:szCs w:val="24"/>
        </w:rPr>
        <w:t xml:space="preserve">Programme Specification for details of the level 3/first year modules.  </w:t>
      </w:r>
    </w:p>
    <w:p w:rsidRPr="2030048C" w:rsidP="2030048C">
      <w:pPr>
        <w:ind w:left="105" w:right="375"/>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requirements are embedded as follows: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Navigate is embedded into LL4305 English Legal System, Skills &amp; Ethics.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Explore is embedded into LL5310 Exploring EU Law.</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Apply module is delivered at Level 6</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course covers the seven foundations of law subjects required by the Bar Standards Board (BSB).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LLB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Law</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LLB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Law</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Constitutional and Administrative Law</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English Legal System, Skills &amp; Ethics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Law of Contract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Law of Tort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The outstanding 30 credits from level 4 can be trailed into level 5 and must be passed before progression to level 6.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LLB (Hons)</w:t>
            </w:r>
            <w:r w:rsidRPr="2030048C">
              <w:rPr>
                <w:rFonts w:ascii="Arial" w:eastAsia="Arial" w:hAnsi="Arial" w:cs="Arial"/>
                <w:b/>
                <w:bCs/>
                <w:lang w:val="en-GB"/>
              </w:rPr>
              <w:t xml:space="preserve"> </w:t>
            </w:r>
            <w:r w:rsidRPr="2030048C">
              <w:rPr>
                <w:rFonts w:ascii="Arial" w:eastAsia="Arial" w:hAnsi="Arial" w:cs="Arial"/>
                <w:b/>
                <w:bCs/>
                <w:lang w:val="en-GB"/>
              </w:rPr>
              <w:t>International Law</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Criminal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Exploring EU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INTERNATIONAL AND COMPARATIVE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Land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The outstanding 30 credits from level 5 can be trailed into level 6.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LLB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Law</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Equity and Trusts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LL6187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Criminal and Human Rights Law</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LL6603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Economic Law</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LL6610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Research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LL6600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 xml:space="preserve">Level 6 requires students to have successfully passed 120 Level 6 credits (to include a 30 credit Capstone module and 60 credits of Optional modules). Capstone modules are intended to allow students to synthesise and apply what they have learned on the Course. The modules are designed to help students reflect on the knowledge and skills they have acquired during their degree and learning how to present them to a wider audience, including future employers. </w:t>
      </w:r>
    </w:p>
    <w:p w:rsidR="6DF80A31"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Students who pass 120 credits of their taught modules (excluding the Professional Experience elements) at each of Levels 4 and 5</w:t>
      </w:r>
      <w:r w:rsidRPr="2030048C">
        <w:rPr>
          <w:rStyle w:val="normaltextrun"/>
          <w:rFonts w:ascii="Arial" w:eastAsia="Arial" w:hAnsi="Arial" w:cs="Arial"/>
          <w:color w:val="FF0000"/>
          <w:sz w:val="22"/>
          <w:szCs w:val="22"/>
        </w:rPr>
        <w:t xml:space="preserve">, </w:t>
      </w:r>
      <w:r w:rsidRPr="2030048C">
        <w:rPr>
          <w:rStyle w:val="normaltextrun"/>
          <w:rFonts w:ascii="Arial" w:eastAsia="Arial" w:hAnsi="Arial" w:cs="Arial"/>
          <w:color w:val="000000" w:themeColor="text1" w:themeShade="FF" w:themeTint="FF"/>
          <w:sz w:val="22"/>
          <w:szCs w:val="22"/>
        </w:rPr>
        <w:t>and at least 60 credits at Level 6 may be awarded a Pass (Ordinary/Non-Honours) degree. Students who do not pass the Professional Experience elements but achieve 360 credits in all of their taught modules will be eligible for an LLB (Hons).</w:t>
      </w:r>
    </w:p>
    <w:p w:rsidR="66934EB1" w:rsidP="2030048C" w14:textId="25B67DE5">
      <w:pPr>
        <w:rPr>
          <w:rFonts w:ascii="Arial" w:eastAsia="Arial" w:hAnsi="Arial" w:cs="Arial"/>
          <w:color w:val="000000" w:themeColor="text1"/>
          <w:sz w:val="24"/>
          <w:szCs w:val="24"/>
          <w:lang w:val="en-GB"/>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LLB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Law with Foundation Year in Social Sciences</w:t>
      </w:r>
    </w:p>
    <w:p w:rsidR="008B5CAF" w:rsidRPr="008B5CAF" w:rsidP="008B5CAF" w14:textId="77777777">
      <w:pPr>
        <w:rPr>
          <w:rFonts w:eastAsia="Arial"/>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LLB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Law with Professional Placement</w:t>
      </w:r>
    </w:p>
    <w:p w:rsidR="008B5CAF" w:rsidRPr="008B5CAF" w:rsidP="008B5CAF" w14:textId="77777777">
      <w:pPr>
        <w:rPr>
          <w:rFonts w:eastAsia="Arial"/>
        </w:rPr>
      </w:pPr>
    </w:p>
    <w:p w:rsidR="035B6837" w:rsidP="2030048C"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B"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textId="30F3F3B7">
            <w:pPr>
              <w:rPr>
                <w:rFonts w:ascii="Arial" w:eastAsia="Arial" w:hAnsi="Arial" w:cs="Arial"/>
              </w:rPr>
            </w:pPr>
            <w:r w:rsidRPr="66934EB1">
              <w:rPr>
                <w:rFonts w:ascii="Arial" w:eastAsia="Arial" w:hAnsi="Arial" w:cs="Arial"/>
                <w:b/>
                <w:bCs/>
              </w:rPr>
              <w:t>Level 5</w:t>
            </w:r>
          </w:p>
        </w:tc>
      </w:tr>
      <w:tr w14:paraId="1514BE76"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73F14FE4">
            <w:pPr>
              <w:rPr>
                <w:rFonts w:ascii="Arial" w:eastAsia="Arial" w:hAnsi="Arial" w:cs="Arial"/>
                <w:lang w:val="en-GB"/>
              </w:rPr>
            </w:pPr>
            <w:r w:rsidRPr="2030048C">
              <w:rPr>
                <w:rFonts w:ascii="Arial" w:eastAsia="Arial" w:hAnsi="Arial" w:cs="Arial"/>
                <w:b/>
                <w:bCs/>
                <w:lang w:val="en-GB"/>
              </w:rPr>
              <w:t>LLB (Hons)</w:t>
            </w:r>
            <w:r w:rsidRPr="2030048C">
              <w:rPr>
                <w:rFonts w:ascii="Arial" w:eastAsia="Arial" w:hAnsi="Arial" w:cs="Arial"/>
                <w:b/>
                <w:bCs/>
                <w:lang w:val="en-GB"/>
              </w:rPr>
              <w:t xml:space="preserve"> </w:t>
            </w:r>
            <w:r w:rsidRPr="2030048C">
              <w:rPr>
                <w:rFonts w:ascii="Arial" w:eastAsia="Arial" w:hAnsi="Arial" w:cs="Arial"/>
                <w:b/>
                <w:bCs/>
                <w:lang w:val="en-GB"/>
              </w:rPr>
              <w:t>International Law with Professional Placement</w:t>
            </w:r>
          </w:p>
        </w:tc>
      </w:tr>
      <w:tr w14:paraId="6F03CED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Year-Long Work Placement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BH5030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120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textId="7597772D">
      <w:pPr>
        <w:rPr>
          <w:rFonts w:ascii="Arial" w:eastAsia="Arial" w:hAnsi="Arial" w:cs="Arial"/>
          <w:color w:val="0070C0"/>
          <w:sz w:val="24"/>
          <w:szCs w:val="24"/>
        </w:rPr>
      </w:pPr>
    </w:p>
    <w:p w:rsidR="3891A81D" w:rsidRPr="2030048C" w:rsidP="2030048C"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For students on the placement route, the successful completion of BH5030 Professional Placement </w:t>
      </w:r>
      <w:r w:rsidRPr="2030048C">
        <w:rPr>
          <w:rStyle w:val="normaltextrun"/>
          <w:rFonts w:ascii="Arial" w:eastAsia="Arial" w:hAnsi="Arial" w:cs="Arial"/>
          <w:color w:val="000000" w:themeColor="text1" w:themeShade="FF" w:themeTint="FF"/>
          <w:sz w:val="24"/>
          <w:szCs w:val="24"/>
        </w:rPr>
        <w:t>will be required for the award of the professional placement credits. If a student does not secure a placement or does not complete the professional placement, they will automatically be transferred to the without placement route.</w:t>
      </w:r>
    </w:p>
    <w:p w:rsidR="66934EB1" w:rsidP="2030048C" w14:textId="5C84D198">
      <w:pPr>
        <w:rPr>
          <w:rFonts w:ascii="Arial" w:eastAsia="Arial" w:hAnsi="Arial" w:cs="Arial"/>
          <w:color w:val="000000" w:themeColor="text1" w:themeShade="FF" w:themeTint="FF"/>
          <w:sz w:val="24"/>
          <w:szCs w:val="24"/>
          <w:lang w:val="en-GB"/>
        </w:rPr>
      </w:pPr>
    </w:p>
    <w:p w:rsidR="66934EB1" w:rsidP="540725A5" w14:textId="65ECFB32">
      <w:pPr>
        <w:rPr>
          <w:rFonts w:ascii="Arial" w:eastAsia="Arial" w:hAnsi="Arial" w:cs="Arial"/>
          <w:color w:val="FF0000"/>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079"/>
        <w:gridCol w:w="226"/>
        <w:gridCol w:w="546"/>
        <w:gridCol w:w="546"/>
        <w:gridCol w:w="546"/>
        <w:gridCol w:w="546"/>
        <w:gridCol w:w="1"/>
        <w:gridCol w:w="578"/>
        <w:gridCol w:w="546"/>
        <w:gridCol w:w="546"/>
        <w:gridCol w:w="546"/>
        <w:gridCol w:w="546"/>
        <w:gridCol w:w="2"/>
        <w:gridCol w:w="569"/>
        <w:gridCol w:w="546"/>
        <w:gridCol w:w="546"/>
        <w:gridCol w:w="546"/>
        <w:gridCol w:w="549"/>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BH5030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LL5310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LL6187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LL6603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LL6600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LL6610</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4"/>
          <w:szCs w:val="24"/>
        </w:rPr>
        <w:t>September intake</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