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London College of Business Studies,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in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in Higher Education in Business Management</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UPBMT1BMT21</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UFBMT1BMT21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with Foundation year</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UPBMT1BMT52</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UFBMT1BMT52</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3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64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64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4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120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120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their ability to recognise their skills, evidence them and articulate them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organisations and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Organisations and People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 Sustainable Responsible Management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Practices of Modern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are eligible for the award of BSC in Business Management.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successfully complete 120 credits at level 6 are eligible for the award of BSc (Hons) in Business Management.</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with Foundation year</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Fundamentals of Commercial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Marketing and Customer Experience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 for Business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Quantitative Analysis in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approach to teaching, learning and assessment supports the programme aims to ensure that graduates have the skills and knowledge to secure and thrive in graduate-level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graduates for the tasks and challenges they will face in graduate roles.</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  The latest technology is used to enhance learning and collaborative working. The assessment strategy ensures that students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the real-world situations in which our students may find themselves.</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rPr>
          <w:rFonts w:ascii="Arial" w:eastAsia="Arial" w:hAnsi="Arial" w:cs="Arial"/>
          <w:sz w:val="24"/>
          <w:szCs w:val="24"/>
        </w:rPr>
      </w:pPr>
      <w:r w:rsidRPr="2030048C">
        <w:rPr>
          <w:rFonts w:ascii="Arial" w:eastAsia="Arial" w:hAnsi="Arial" w:cs="Arial"/>
          <w:sz w:val="24"/>
          <w:szCs w:val="24"/>
        </w:rPr>
        <w:t>The Business Management programme has integrated the principles of the University’s Inclusive Curriculum Framework, to ensure inclusivity has been embedded throughout the academic cycle. Examples of these approaches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Personal Tutor.  Each student will have their own personal tutor who will normally stay with them throughout their course. The tutor will instigate regular meetings throughout the student’s studies, providing support, guidance and encouragement to their tutees throughout the programme. Topics such as academic performance, future skills development,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Year Lead. Each level of the programme has a year lead to follow up queries from the personal tutor and answer programme specific questions.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Director. The Course Director helps students to understand the programme structure, the academic regulations and what is required at the various levels of study.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Administrative Support team. The student support team helps with general administrative aspects such as timetables issues and providing letters.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Student Academic Support team. This team can provide guidance on study plans or help arrange services such as Wellness or Disability. The team can also provide advice and guidance on academic matters such as mitigating circumstances and extensions.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Employability Mentor.  The Mentor will provide support and guidance for students on the development of their employability profile, future skills and career aims.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advice is provided by the academic team, with support from the Student Academic Support team, offering valuable guidance which develops students’ professional skills, supporting them with work experience opportunities and their learning from this and organising careers events.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Peer-Assisted Learning (PAL) student mentors. The PAL mentors are students who have previously studied the modules and provide support and mentoring to newer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Additional drop in sessions are provided to support students on the development of their academic skills, including accessing suitable sources, analysis, referencing and academic integrity. </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 is available.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college, college life, what is expected of them as a student, the degree programme and each other.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Access to </w:t>
      </w:r>
      <w:hyperlink r:id="rId12" w:history="1">
        <w:r w:rsidRPr="2030048C">
          <w:rPr>
            <w:rFonts w:ascii="Arial" w:eastAsia="Arial" w:hAnsi="Arial" w:cs="Arial"/>
            <w:sz w:val="24"/>
            <w:szCs w:val="24"/>
          </w:rPr>
          <w:t>English language support</w:t>
        </w:r>
      </w:hyperlink>
      <w:r w:rsidRPr="2030048C">
        <w:rPr>
          <w:rFonts w:ascii="Arial" w:eastAsia="Arial" w:hAnsi="Arial" w:cs="Arial"/>
          <w:sz w:val="24"/>
          <w:szCs w:val="24"/>
        </w:rPr>
        <w:t>, which is particularly useful for international students who do not have English as their first language can be facilitated.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representatives will be elected to enable regular student feed back to staff about the programme, along with student involvement of programme meetings and the college Quality and Standards Committee.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college VLE Class 365 is a versatile on-line interactive intranet and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can access advice on issues including disability, learning support, finance, accommodation, international students and accommodation through their Personal Tutor who will liaise with colleagues to enable the most appropriate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College and Kingston University have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Programme committee meetings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College Quality and Standards Committee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University School Education Committees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4"/>
        <w:gridCol w:w="220"/>
        <w:gridCol w:w="1"/>
        <w:gridCol w:w="93"/>
        <w:gridCol w:w="1"/>
        <w:gridCol w:w="93"/>
        <w:gridCol w:w="1"/>
        <w:gridCol w:w="93"/>
        <w:gridCol w:w="1"/>
        <w:gridCol w:w="93"/>
        <w:gridCol w:w="1"/>
        <w:gridCol w:w="565"/>
        <w:gridCol w:w="1"/>
        <w:gridCol w:w="565"/>
        <w:gridCol w:w="1"/>
        <w:gridCol w:w="580"/>
        <w:gridCol w:w="1"/>
        <w:gridCol w:w="565"/>
        <w:gridCol w:w="1"/>
        <w:gridCol w:w="556"/>
        <w:gridCol w:w="1"/>
        <w:gridCol w:w="565"/>
        <w:gridCol w:w="1"/>
        <w:gridCol w:w="580"/>
        <w:gridCol w:w="1"/>
        <w:gridCol w:w="556"/>
        <w:gridCol w:w="1"/>
        <w:gridCol w:w="556"/>
        <w:gridCol w:w="1"/>
        <w:gridCol w:w="556"/>
        <w:gridCol w:w="1"/>
        <w:gridCol w:w="556"/>
        <w:gridCol w:w="1"/>
        <w:gridCol w:w="580"/>
        <w:gridCol w:w="1"/>
        <w:gridCol w:w="56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www.kingston.ac.uk/information-and-technology-services/service-desk-portal/" TargetMode="External" /><Relationship Id="rId12" Type="http://schemas.openxmlformats.org/officeDocument/2006/relationships/hyperlink" Target="https://kingstonuniversity.sharepoint.com/sites/mykingston/mysupport/ELD/Pages/default.aspx"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