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Programme</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Return to Nursing or Midwifery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11/10/2019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29/01/2026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Midwifery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Programme</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Return to Nursing or Midwifery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None</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UPNUR1NUR65</w:t>
            </w: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None</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0.5</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In accordance with the Nursing and Midwifery Council (NMC) </w:t>
            </w:r>
            <w:r w:rsidRPr="2030048C">
              <w:rPr>
                <w:rStyle w:val="normaltextrun"/>
                <w:rFonts w:ascii="Arial" w:eastAsia="Arial" w:hAnsi="Arial" w:cs="Arial"/>
                <w:b w:val="0"/>
                <w:bCs w:val="0"/>
                <w:i/>
                <w:iCs/>
                <w:color w:val="000000"/>
                <w:sz w:val="22"/>
                <w:szCs w:val="22"/>
                <w:shd w:val="clear" w:color="auto" w:fill="FFFFFF"/>
              </w:rPr>
              <w:t xml:space="preserve">Standards for return to practice programmes </w:t>
            </w:r>
            <w:r w:rsidRPr="2030048C">
              <w:rPr>
                <w:rStyle w:val="normaltextrun"/>
                <w:rFonts w:ascii="Arial" w:eastAsia="Arial" w:hAnsi="Arial" w:cs="Arial"/>
                <w:b w:val="0"/>
                <w:bCs w:val="0"/>
                <w:color w:val="000000"/>
                <w:sz w:val="22"/>
                <w:szCs w:val="22"/>
                <w:shd w:val="clear" w:color="auto" w:fill="FFFFFF"/>
              </w:rPr>
              <w:t>(NMC, 2019), on entry to the programme applicants must:</w:t>
            </w:r>
          </w:p>
          <w:p w:rsidRPr="2030048C" w:rsidP="2030048C">
            <w:pPr>
              <w:pStyle w:val="li"/>
              <w:numPr>
                <w:ilvl w:val="0"/>
                <w:numId w:val="12"/>
              </w:numPr>
              <w:pBdr>
                <w:left w:val="none" w:sz="0" w:space="7" w:color="auto"/>
              </w:pBdr>
              <w:spacing w:before="0" w:after="0"/>
              <w:ind w:left="360" w:right="0" w:hanging="519"/>
              <w:jc w:val="left"/>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have confirmation of current or previous registration with the NMC as a nurse or midwife;</w:t>
            </w:r>
          </w:p>
          <w:p w:rsidRPr="2030048C" w:rsidP="2030048C">
            <w:pPr>
              <w:pStyle w:val="li"/>
              <w:numPr>
                <w:ilvl w:val="0"/>
                <w:numId w:val="12"/>
              </w:numPr>
              <w:pBdr>
                <w:left w:val="none" w:sz="0" w:space="7" w:color="auto"/>
              </w:pBdr>
              <w:spacing w:before="0" w:after="0"/>
              <w:ind w:left="360" w:right="0" w:hanging="519"/>
              <w:jc w:val="left"/>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demonstrate (at interview) the values and capability to behave in accordance with the Code;</w:t>
            </w:r>
          </w:p>
          <w:p w:rsidRPr="2030048C" w:rsidP="2030048C">
            <w:pPr>
              <w:pStyle w:val="li"/>
              <w:numPr>
                <w:ilvl w:val="0"/>
                <w:numId w:val="12"/>
              </w:numPr>
              <w:pBdr>
                <w:left w:val="none" w:sz="0" w:space="7" w:color="auto"/>
              </w:pBdr>
              <w:spacing w:before="0" w:after="0"/>
              <w:ind w:left="360" w:right="0" w:hanging="519"/>
              <w:jc w:val="left"/>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have capability in literacy, digital and technological literacy and capability to update numeracy skills to meet the programme outcomes;</w:t>
            </w:r>
          </w:p>
          <w:p w:rsidRPr="2030048C" w:rsidP="2030048C">
            <w:pPr>
              <w:pStyle w:val="li"/>
              <w:numPr>
                <w:ilvl w:val="0"/>
                <w:numId w:val="12"/>
              </w:numPr>
              <w:pBdr>
                <w:left w:val="none" w:sz="0" w:space="7" w:color="auto"/>
              </w:pBdr>
              <w:spacing w:before="0" w:after="0"/>
              <w:ind w:left="360" w:right="0" w:hanging="519"/>
              <w:jc w:val="left"/>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have sufficient health and character to enable safe and effective practice, through satisfactory occupational health assessment and criminal record checks; </w:t>
            </w:r>
          </w:p>
          <w:p w:rsidRPr="2030048C" w:rsidP="2030048C">
            <w:pPr>
              <w:pStyle w:val="li"/>
              <w:numPr>
                <w:ilvl w:val="0"/>
                <w:numId w:val="12"/>
              </w:numPr>
              <w:pBdr>
                <w:left w:val="none" w:sz="0" w:space="7" w:color="auto"/>
              </w:pBdr>
              <w:spacing w:before="0" w:after="0"/>
              <w:ind w:left="360" w:right="0" w:hanging="519"/>
              <w:jc w:val="left"/>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meet the NMC English as a second language requirements, where appropriate (IELT level 7 in everything except written English at 6.5).</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Midwifery applicants must also have an honorary contract with a placement provider confirmed before entry to the programme. Clinical placements for nursing applicants are organised by the Faculty Placements team, unless otherwise agreed. </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Intakes are September </w:t>
            </w:r>
            <w:r w:rsidRPr="2030048C">
              <w:rPr>
                <w:rStyle w:val="normaltextrun"/>
                <w:rFonts w:ascii="Arial" w:eastAsia="Arial" w:hAnsi="Arial" w:cs="Arial"/>
                <w:b w:val="0"/>
                <w:bCs w:val="0"/>
                <w:color w:val="000000"/>
                <w:sz w:val="22"/>
                <w:szCs w:val="22"/>
                <w:shd w:val="clear" w:color="auto" w:fill="FFFFFF"/>
              </w:rPr>
              <w:t xml:space="preserve">(for nurses and midwives) </w:t>
            </w:r>
            <w:r w:rsidRPr="2030048C">
              <w:rPr>
                <w:rStyle w:val="normaltextrun"/>
                <w:rFonts w:ascii="Arial" w:eastAsia="Arial" w:hAnsi="Arial" w:cs="Arial"/>
                <w:b w:val="0"/>
                <w:bCs w:val="0"/>
                <w:color w:val="000000"/>
                <w:sz w:val="22"/>
                <w:szCs w:val="22"/>
                <w:shd w:val="clear" w:color="auto" w:fill="FFFFFF"/>
              </w:rPr>
              <w:t>and January</w:t>
            </w:r>
            <w:r w:rsidRPr="2030048C">
              <w:rPr>
                <w:rStyle w:val="normaltextrun"/>
                <w:rFonts w:ascii="Arial" w:eastAsia="Arial" w:hAnsi="Arial" w:cs="Arial"/>
                <w:b w:val="0"/>
                <w:bCs w:val="0"/>
                <w:color w:val="000000"/>
                <w:sz w:val="22"/>
                <w:szCs w:val="22"/>
                <w:shd w:val="clear" w:color="auto" w:fill="FFFFFF"/>
              </w:rPr>
              <w:t xml:space="preserve"> (nurses only).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Nursing and Midwifery Council</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Students are permitted a maximum of two assessment opportunities in the practice element of assessment which is assessed through the PAD (Nursing)  or MORA (Midwifery). Four assessment opportunities are permitted in the theory element of assessment as per default regulations.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This course enables participants to:</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meet the standards of proficiency to remain on, or be readmitted to the NMC register;</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regain confidence, and update their skills and knowledge (including numeracy, literacy, digital and technological) to enable them to provide safe, effective, person-centred care.</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Numeracy Skills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Be aware of issues of selection, accuracy and uncertainty in the collection and analysis of data</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Interpret and evaluate data to inform and justify arguments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Present and record data in appropriate formats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Collect data from primary and secondary sources and use appropriate methods to manipulate and analyse this data</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Research and Information Literacy Skills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Use software and IT technology as appropriate</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Accurately cite and reference information sources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Apply the ethical and legal requirements in both the access and use of information</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Critically evaluate information and use it appropriately</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Search for and select relevant sources of information</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Interpersonal Skills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Show sensitivity and respect for diverse values and beliefs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Give, accept and respond to constructive feedback</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Discuss and debate with others and make concession to reach agreement</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Work flexibly and respond to change</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Work well  with others in a group or team</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r w:rsidRPr="2030048C">
        <w:rPr>
          <w:rFonts w:ascii="Arial" w:eastAsia="Arial" w:hAnsi="Arial" w:cs="Arial"/>
          <w:color w:val="000000" w:themeColor="text1" w:themeShade="FF" w:themeTint="FF"/>
          <w:sz w:val="24"/>
          <w:szCs w:val="24"/>
        </w:rPr>
        <w:t xml:space="preserve">The </w:t>
      </w:r>
      <w:r w:rsidRPr="2030048C">
        <w:rPr>
          <w:rFonts w:ascii="Arial" w:eastAsia="Arial" w:hAnsi="Arial" w:cs="Arial"/>
          <w:color w:val="000000" w:themeColor="text1" w:themeShade="FF" w:themeTint="FF"/>
          <w:sz w:val="24"/>
          <w:szCs w:val="24"/>
        </w:rPr>
        <w:t>course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comprises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of </w:t>
      </w:r>
      <w:r w:rsidRPr="2030048C">
        <w:rPr>
          <w:rFonts w:ascii="Arial" w:eastAsia="Arial" w:hAnsi="Arial" w:cs="Arial"/>
          <w:color w:val="000000" w:themeColor="text1" w:themeShade="FF" w:themeTint="FF"/>
          <w:sz w:val="24"/>
          <w:szCs w:val="24"/>
        </w:rPr>
        <w:t xml:space="preserve">a 30 credit module with </w:t>
      </w:r>
      <w:r w:rsidRPr="2030048C">
        <w:rPr>
          <w:rFonts w:ascii="Arial" w:eastAsia="Arial" w:hAnsi="Arial" w:cs="Arial"/>
          <w:color w:val="000000" w:themeColor="text1" w:themeShade="FF" w:themeTint="FF"/>
          <w:sz w:val="24"/>
          <w:szCs w:val="24"/>
        </w:rPr>
        <w:t xml:space="preserve">one day per week </w:t>
      </w:r>
      <w:r w:rsidRPr="2030048C">
        <w:rPr>
          <w:rFonts w:ascii="Arial" w:eastAsia="Arial" w:hAnsi="Arial" w:cs="Arial"/>
          <w:color w:val="000000" w:themeColor="text1" w:themeShade="FF" w:themeTint="FF"/>
          <w:sz w:val="24"/>
          <w:szCs w:val="24"/>
        </w:rPr>
        <w:t xml:space="preserve">face-to-face </w:t>
      </w:r>
      <w:r w:rsidRPr="2030048C">
        <w:rPr>
          <w:rFonts w:ascii="Arial" w:eastAsia="Arial" w:hAnsi="Arial" w:cs="Arial"/>
          <w:color w:val="000000" w:themeColor="text1" w:themeShade="FF" w:themeTint="FF"/>
          <w:sz w:val="24"/>
          <w:szCs w:val="24"/>
        </w:rPr>
        <w:t>teaching</w:t>
      </w:r>
      <w:r w:rsidRPr="2030048C">
        <w:rPr>
          <w:rFonts w:ascii="Arial" w:eastAsia="Arial" w:hAnsi="Arial" w:cs="Arial"/>
          <w:color w:val="000000" w:themeColor="text1" w:themeShade="FF" w:themeTint="FF"/>
          <w:sz w:val="24"/>
          <w:szCs w:val="24"/>
        </w:rPr>
        <w:t>, alongside</w:t>
      </w:r>
      <w:r w:rsidRPr="2030048C">
        <w:rPr>
          <w:rFonts w:ascii="Arial" w:eastAsia="Arial" w:hAnsi="Arial" w:cs="Arial"/>
          <w:color w:val="000000" w:themeColor="text1" w:themeShade="FF" w:themeTint="FF"/>
          <w:sz w:val="24"/>
          <w:szCs w:val="24"/>
        </w:rPr>
        <w:t xml:space="preserve"> a placement</w:t>
      </w:r>
      <w:r w:rsidRPr="2030048C">
        <w:rPr>
          <w:rFonts w:ascii="Arial" w:eastAsia="Arial" w:hAnsi="Arial" w:cs="Arial"/>
          <w:color w:val="000000" w:themeColor="text1" w:themeShade="FF" w:themeTint="FF"/>
          <w:sz w:val="24"/>
          <w:szCs w:val="24"/>
        </w:rPr>
        <w:t xml:space="preserve"> requiring</w:t>
      </w:r>
      <w:r w:rsidRPr="2030048C">
        <w:rPr>
          <w:rFonts w:ascii="Arial" w:eastAsia="Arial" w:hAnsi="Arial" w:cs="Arial"/>
          <w:color w:val="000000" w:themeColor="text1" w:themeShade="FF" w:themeTint="FF"/>
          <w:sz w:val="24"/>
          <w:szCs w:val="24"/>
        </w:rPr>
        <w:t xml:space="preserve"> a minimum of 150hrs </w:t>
      </w:r>
      <w:r w:rsidRPr="2030048C">
        <w:rPr>
          <w:rFonts w:ascii="Arial" w:eastAsia="Arial" w:hAnsi="Arial" w:cs="Arial"/>
          <w:color w:val="000000" w:themeColor="text1" w:themeShade="FF" w:themeTint="FF"/>
          <w:sz w:val="24"/>
          <w:szCs w:val="24"/>
        </w:rPr>
        <w:t>supernumerary</w:t>
      </w:r>
      <w:r w:rsidRPr="2030048C">
        <w:rPr>
          <w:rFonts w:ascii="Arial" w:eastAsia="Arial" w:hAnsi="Arial" w:cs="Arial"/>
          <w:color w:val="000000" w:themeColor="text1" w:themeShade="FF" w:themeTint="FF"/>
          <w:sz w:val="24"/>
          <w:szCs w:val="24"/>
        </w:rPr>
        <w:t xml:space="preserve"> clinical practice.</w:t>
      </w:r>
      <w:r w:rsidRPr="2030048C">
        <w:rPr>
          <w:rFonts w:ascii="Arial" w:eastAsia="Arial" w:hAnsi="Arial" w:cs="Arial"/>
          <w:color w:val="000000" w:themeColor="text1" w:themeShade="FF" w:themeTint="FF"/>
          <w:sz w:val="24"/>
          <w:szCs w:val="24"/>
        </w:rPr>
        <w:t xml:space="preserve"> Two modes</w:t>
      </w:r>
      <w:r w:rsidRPr="2030048C">
        <w:rPr>
          <w:rFonts w:ascii="Arial" w:eastAsia="Arial" w:hAnsi="Arial" w:cs="Arial"/>
          <w:color w:val="000000" w:themeColor="text1" w:themeShade="FF" w:themeTint="FF"/>
          <w:sz w:val="24"/>
          <w:szCs w:val="24"/>
        </w:rPr>
        <w:t xml:space="preserve"> of delivery are offered to suit individual circumstances</w:t>
      </w:r>
      <w:r w:rsidRPr="2030048C">
        <w:rPr>
          <w:rFonts w:ascii="Arial" w:eastAsia="Arial" w:hAnsi="Arial" w:cs="Arial"/>
          <w:color w:val="000000" w:themeColor="text1" w:themeShade="FF" w:themeTint="FF"/>
          <w:sz w:val="24"/>
          <w:szCs w:val="24"/>
        </w:rPr>
        <w:t xml:space="preserve"> and discipline</w:t>
      </w:r>
      <w:r w:rsidRPr="2030048C">
        <w:rPr>
          <w:rFonts w:ascii="Arial" w:eastAsia="Arial" w:hAnsi="Arial" w:cs="Arial"/>
          <w:color w:val="000000" w:themeColor="text1" w:themeShade="FF" w:themeTint="FF"/>
          <w:sz w:val="24"/>
          <w:szCs w:val="24"/>
        </w:rPr>
        <w: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September cohort teaching dates</w:t>
      </w:r>
      <w:r w:rsidRPr="2030048C">
        <w:rPr>
          <w:rFonts w:ascii="Arial" w:eastAsia="Arial" w:hAnsi="Arial" w:cs="Arial"/>
          <w:color w:val="000000" w:themeColor="text1" w:themeShade="FF" w:themeTint="FF"/>
          <w:sz w:val="24"/>
          <w:szCs w:val="24"/>
        </w:rPr>
        <w:t xml:space="preserve"> (for nurses and midwives)</w:t>
      </w:r>
      <w:r w:rsidRPr="2030048C">
        <w:rPr>
          <w:rFonts w:ascii="Arial" w:eastAsia="Arial" w:hAnsi="Arial" w:cs="Arial"/>
          <w:color w:val="000000" w:themeColor="text1" w:themeShade="FF" w:themeTint="FF"/>
          <w:sz w:val="24"/>
          <w:szCs w:val="24"/>
        </w:rPr>
        <w: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10</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full </w:t>
      </w:r>
      <w:r w:rsidRPr="2030048C">
        <w:rPr>
          <w:rFonts w:ascii="Arial" w:eastAsia="Arial" w:hAnsi="Arial" w:cs="Arial"/>
          <w:color w:val="000000" w:themeColor="text1" w:themeShade="FF" w:themeTint="FF"/>
          <w:sz w:val="24"/>
          <w:szCs w:val="24"/>
        </w:rPr>
        <w:t>taught days, deliver</w:t>
      </w:r>
      <w:r w:rsidRPr="2030048C">
        <w:rPr>
          <w:rFonts w:ascii="Arial" w:eastAsia="Arial" w:hAnsi="Arial" w:cs="Arial"/>
          <w:color w:val="000000" w:themeColor="text1" w:themeShade="FF" w:themeTint="FF"/>
          <w:sz w:val="24"/>
          <w:szCs w:val="24"/>
        </w:rPr>
        <w:t>ed one day per week</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January cohort teaching dates</w:t>
      </w:r>
      <w:r w:rsidRPr="2030048C">
        <w:rPr>
          <w:rFonts w:ascii="Arial" w:eastAsia="Arial" w:hAnsi="Arial" w:cs="Arial"/>
          <w:color w:val="000000" w:themeColor="text1" w:themeShade="FF" w:themeTint="FF"/>
          <w:sz w:val="24"/>
          <w:szCs w:val="24"/>
        </w:rPr>
        <w:t xml:space="preserve"> (for nurses only)</w:t>
      </w:r>
      <w:r w:rsidRPr="2030048C">
        <w:rPr>
          <w:rFonts w:ascii="Arial" w:eastAsia="Arial" w:hAnsi="Arial" w:cs="Arial"/>
          <w:color w:val="000000" w:themeColor="text1" w:themeShade="FF" w:themeTint="FF"/>
          <w:sz w:val="24"/>
          <w:szCs w:val="24"/>
        </w:rPr>
        <w: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14</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shortened </w:t>
      </w:r>
      <w:r w:rsidRPr="2030048C">
        <w:rPr>
          <w:rFonts w:ascii="Arial" w:eastAsia="Arial" w:hAnsi="Arial" w:cs="Arial"/>
          <w:color w:val="000000" w:themeColor="text1" w:themeShade="FF" w:themeTint="FF"/>
          <w:sz w:val="24"/>
          <w:szCs w:val="24"/>
        </w:rPr>
        <w:t>taught days, deliver</w:t>
      </w:r>
      <w:r w:rsidRPr="2030048C">
        <w:rPr>
          <w:rFonts w:ascii="Arial" w:eastAsia="Arial" w:hAnsi="Arial" w:cs="Arial"/>
          <w:color w:val="000000" w:themeColor="text1" w:themeShade="FF" w:themeTint="FF"/>
          <w:sz w:val="24"/>
          <w:szCs w:val="24"/>
        </w:rPr>
        <w:t>ed one day per week</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pattern of deli</w:t>
      </w:r>
      <w:r w:rsidRPr="2030048C">
        <w:rPr>
          <w:rFonts w:ascii="Arial" w:eastAsia="Arial" w:hAnsi="Arial" w:cs="Arial"/>
          <w:color w:val="000000" w:themeColor="text1" w:themeShade="FF" w:themeTint="FF"/>
          <w:sz w:val="24"/>
          <w:szCs w:val="24"/>
        </w:rPr>
        <w:t>very</w:t>
      </w:r>
      <w:r w:rsidRPr="2030048C">
        <w:rPr>
          <w:rFonts w:ascii="Arial" w:eastAsia="Arial" w:hAnsi="Arial" w:cs="Arial"/>
          <w:color w:val="000000" w:themeColor="text1" w:themeShade="FF" w:themeTint="FF"/>
          <w:sz w:val="24"/>
          <w:szCs w:val="24"/>
        </w:rPr>
        <w:t xml:space="preserve"> for the</w:t>
      </w:r>
      <w:r w:rsidRPr="2030048C">
        <w:rPr>
          <w:rFonts w:ascii="Arial" w:eastAsia="Arial" w:hAnsi="Arial" w:cs="Arial"/>
          <w:color w:val="000000" w:themeColor="text1" w:themeShade="FF" w:themeTint="FF"/>
          <w:sz w:val="24"/>
          <w:szCs w:val="24"/>
        </w:rPr>
        <w:t xml:space="preserve"> clinical placement is negotiated between the student and the placement provider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the</w:t>
      </w:r>
      <w:r w:rsidRPr="2030048C">
        <w:rPr>
          <w:rFonts w:ascii="Arial" w:eastAsia="Arial" w:hAnsi="Arial" w:cs="Arial"/>
          <w:color w:val="000000" w:themeColor="text1" w:themeShade="FF" w:themeTint="FF"/>
          <w:sz w:val="24"/>
          <w:szCs w:val="24"/>
        </w:rPr>
        <w:t xml:space="preserve"> module will be provided in </w:t>
      </w:r>
      <w:r w:rsidRPr="2030048C">
        <w:rPr>
          <w:rFonts w:ascii="Arial" w:eastAsia="Arial" w:hAnsi="Arial" w:cs="Arial"/>
          <w:color w:val="000000" w:themeColor="text1" w:themeShade="FF" w:themeTint="FF"/>
          <w:sz w:val="24"/>
          <w:szCs w:val="24"/>
        </w:rPr>
        <w:t xml:space="preserve">the </w:t>
      </w:r>
      <w:r w:rsidRPr="2030048C">
        <w:rPr>
          <w:rFonts w:ascii="Arial" w:eastAsia="Arial" w:hAnsi="Arial" w:cs="Arial"/>
          <w:color w:val="000000" w:themeColor="text1" w:themeShade="FF" w:themeTint="FF"/>
          <w:sz w:val="24"/>
          <w:szCs w:val="24"/>
        </w:rPr>
        <w:t>module descr</w:t>
      </w:r>
      <w:r w:rsidRPr="2030048C">
        <w:rPr>
          <w:rFonts w:ascii="Arial" w:eastAsia="Arial" w:hAnsi="Arial" w:cs="Arial"/>
          <w:color w:val="000000" w:themeColor="text1" w:themeShade="FF" w:themeTint="FF"/>
          <w:sz w:val="24"/>
          <w:szCs w:val="24"/>
        </w:rPr>
        <w:t>iptor and course handbook.</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Programme</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Return to Nursing or Midwifery</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Programme</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Return to Nursing or Midwifery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Return to Nursing or Midwifery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NG6000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Programme design</w:t>
      </w:r>
    </w:p>
    <w:p w:rsidRPr="2030048C" w:rsidP="2030048C">
      <w:pPr>
        <w:rPr>
          <w:rFonts w:ascii="Arial" w:eastAsia="Arial" w:hAnsi="Arial" w:cs="Arial"/>
          <w:sz w:val="24"/>
          <w:szCs w:val="24"/>
        </w:rPr>
      </w:pPr>
      <w:r w:rsidRPr="2030048C">
        <w:rPr>
          <w:rFonts w:ascii="Arial" w:eastAsia="Arial" w:hAnsi="Arial" w:cs="Arial"/>
          <w:sz w:val="24"/>
          <w:szCs w:val="24"/>
        </w:rPr>
        <w:t>The programme is designed to integrate theory and practice. Students engage with a number of key relationships – service users, their families and carers; lecturers, supervisors and assessors; the learning environment (university and practice); knowledge and evidence. The NMC proficiencies for nursing or midwifery provide the main curriculum themes and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regain knowledge and skills (including numeracy, literacy and IT literacy) to remain on, or re-enter the register.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Service user, carer, employer and student input to programme design and delivery</w:t>
      </w:r>
    </w:p>
    <w:p w:rsidRPr="2030048C" w:rsidP="2030048C">
      <w:pPr>
        <w:rPr>
          <w:rFonts w:ascii="Arial" w:eastAsia="Arial" w:hAnsi="Arial" w:cs="Arial"/>
          <w:sz w:val="24"/>
          <w:szCs w:val="24"/>
        </w:rPr>
      </w:pPr>
      <w:r w:rsidRPr="2030048C">
        <w:rPr>
          <w:rFonts w:ascii="Arial" w:eastAsia="Arial" w:hAnsi="Arial" w:cs="Arial"/>
          <w:sz w:val="24"/>
          <w:szCs w:val="24"/>
        </w:rPr>
        <w:t>Practice partners, service users and students have contributed to programme design through a series of stakeholder events. These have included curriculum design meetings with local employers, a focus group with graduates of the programme and a service user and carer event to explore the desired attributes of NMC registrants. Emergent themes and feedback from these events have informed the programme development.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Practice partners, service users and carers participate in the delivery of the programme within the classroom. This approach introduces a range of perspectives and assists with integration. The module includes scheduled time for service users and carers to share their lived experience within the taught content and students also receive feedback from service users and carers as part of a formative presentation of their case study, as well as feedback in practice through the nursing Practice Assessment Document (PAD)/ Midwifery Ongoing Record of Achievement (MORA). In addition, an annual stakeholder event, including students, practice partners, service users and carers reviews the quality of the programme and agrees actions. The School of Nursing’s Service User and Carer Involvement strategy provides more detailed information.</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are delivered through the integration of a variety of face-to-face activities, including interdisciplinary lectures, groupwork, skills practice and simulation, as well as online activities, supported by the University’s Virtual Learning Environment (VLE). Academic writing and critical thinking skills are developed through ‘The Critical Thinking Skills Toolkit’ activities that have been designed to develop the skills needed to facilitate the student to become a thoughtful, objective and reasoned thinker. This will help students to tackle the academic assignment confidently, understand marking criteria, use evidence, take a reasoned approach, make structured arguments and engage with other points of view.</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benefit from interdisciplinary learning, both with other NMC professions during the face-to-face scheduled teaching as well as with a variety of health and social care professionals during clinical placement. Discipline specific and nursing field specific (where appropriate) learning also takes place through directed online activities and tailored skills sessions in the Clinical Skills and Simulation Suite.</w:t>
      </w:r>
    </w:p>
    <w:p w:rsidRPr="2030048C" w:rsidP="2030048C">
      <w:pPr>
        <w:rPr>
          <w:rFonts w:ascii="Arial" w:eastAsia="Arial" w:hAnsi="Arial" w:cs="Arial"/>
          <w:sz w:val="24"/>
          <w:szCs w:val="24"/>
        </w:rPr>
      </w:pPr>
      <w:r w:rsidRPr="2030048C">
        <w:rPr>
          <w:rFonts w:ascii="Arial" w:eastAsia="Arial" w:hAnsi="Arial" w:cs="Arial"/>
          <w:sz w:val="24"/>
          <w:szCs w:val="24"/>
        </w:rPr>
        <w:t>Placement learning</w:t>
      </w:r>
    </w:p>
    <w:p w:rsidRPr="2030048C" w:rsidP="2030048C">
      <w:pPr>
        <w:rPr>
          <w:rFonts w:ascii="Arial" w:eastAsia="Arial" w:hAnsi="Arial" w:cs="Arial"/>
          <w:sz w:val="24"/>
          <w:szCs w:val="24"/>
        </w:rPr>
      </w:pPr>
      <w:r w:rsidRPr="2030048C">
        <w:rPr>
          <w:rFonts w:ascii="Arial" w:eastAsia="Arial" w:hAnsi="Arial" w:cs="Arial"/>
          <w:sz w:val="24"/>
          <w:szCs w:val="24"/>
        </w:rPr>
        <w:t xml:space="preserve">Where an honorary contract is not already in place for a return to nursing student at the point of entry to the programme, a suitable clinical placement is organised by the Faculty Placements team, in negotiation with each student and taking into account intended area of practice, individual needs and preferences. The process of selecting placements is overseen by the School of Nursing Director for Practice Learning and the Course Leader for return to nursing, to ensure the Standards of proficiency for registered nurses (NMC, 2018) can be met.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Return to midwifery applicants are required to have an honorary contract with a placement provider confirmed before entry to the programme. The return to midwifery Course Leader ensures placements provide a sufficient range of learning experiences for the Standards of proficiency for midwives (NMC, 2019) to be met.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All placements are preceded by a timetabled preparation session which introduces the aims of the placement and the nature of learning opportunities, so that students are able to recognise the full potential of learning situations. The session also covers the assessment of practice learning, which is assessed using a Practice Assessment Document (PAD) for the return to nursing students and an equivalent Midwifery Ongoing Record of Achievement (MORA) for return to midwifery students. These documents provide a framework to guide, direct and assess placement learning and are used to assess professional values, competencies and skills relating to the NMC proficiencies/ domains which must be demonstrated for re-entry to the register. They also include sections for the student to record and reflect on their practice placement and any outreach activities they may have undertaken during the placement.</w:t>
      </w:r>
    </w:p>
    <w:p w:rsidRPr="2030048C" w:rsidP="2030048C">
      <w:pPr>
        <w:rPr>
          <w:rFonts w:ascii="Arial" w:eastAsia="Arial" w:hAnsi="Arial" w:cs="Arial"/>
          <w:sz w:val="24"/>
          <w:szCs w:val="24"/>
        </w:rPr>
      </w:pPr>
      <w:r w:rsidRPr="2030048C">
        <w:rPr>
          <w:rFonts w:ascii="Arial" w:eastAsia="Arial" w:hAnsi="Arial" w:cs="Arial"/>
          <w:sz w:val="24"/>
          <w:szCs w:val="24"/>
        </w:rPr>
        <w:t>During their practice placement students will regain confidence and skills in  providing direct care to service users, families and carers under the guidance and supervision of appropriately prepared practice supervisors, and where appropriate, registered health and social care professionals from other disciplines.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 strategy</w:t>
      </w:r>
    </w:p>
    <w:p w:rsidRPr="2030048C" w:rsidP="2030048C">
      <w:pPr>
        <w:rPr>
          <w:rFonts w:ascii="Arial" w:eastAsia="Arial" w:hAnsi="Arial" w:cs="Arial"/>
          <w:sz w:val="24"/>
          <w:szCs w:val="24"/>
        </w:rPr>
      </w:pPr>
      <w:r w:rsidRPr="2030048C">
        <w:rPr>
          <w:rFonts w:ascii="Arial" w:eastAsia="Arial" w:hAnsi="Arial" w:cs="Arial"/>
          <w:sz w:val="24"/>
          <w:szCs w:val="24"/>
        </w:rPr>
        <w:t>The course assessments enable students to demonstrate achievement of the learning outcomes and relevant Standards of proficiency for nursing or midwifery (NMC, 2018a; NMC, 2019b). They comprise a 3000 word case study, requiring students to draw on their experience of providing holistic, evidence based care to a person during their placement, as well as completion of the PAD/MORA, which is signed-off by a practice assessor in the placement area and an academic assessor, who is a member of the course team with appropriate equivalent experience. Students are required to pass both the theory and practice to achieve a pass for the course overall.</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Both forms of assessment have a formative element which allows students to gain feedback and maximise success at the summative point. For the case study, this comprises a class presentation to outline their plan and develop their ideas in a supportive environment with a member of the course team (usually the Course Leader) and their peers.  Students are also provided with feed-forward at the summative points, which clarifies what they need to do to develop their skills in the future, and achieve their full potential. The case study is assessed using an online marking rubric to ensure transparency and facilitate feedback and feed-forward.</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Students on the return to practice programme may have been away from formal education for a considerable period of time; may be new to level 6 study and have limited IT skills. Academic skills support is introduced early on the timetable to enable students to refresh their study skills, numeracy and written English. A pre-course diagnostic IT self-test also enables the module leader to offer bespoke IT support as appropriate. In addition to timetabled academic support, the University provides a comprehensive matrix of roles and centralised services which are freely available to students throughout their studies.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Course (Module) Leader and teaching team: the course team are the primary source for academic support and assignment supervision. They coordinate tutorial support for the formative and summative submissions and ensure appropriate feedback and feed forward is provided. The course team will refer students in need of additional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Specialist Lecturer with a remit for academic support: students can self-refer or be referred by any member of academic staff for one-to-one tutoring to support writing/academic skills; English language development; learning difference needs (e.g. dyslexia).</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Numeracy Support Lecturer: students can self-refer or be referred for one-to-one and group practical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 every student is allocated a personal tutor (usually the Course Leader) who provides pastoral support and can refer to additional support services where needed.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Academic Skills Centres: self-referral drop-in centres staffed by specialist academic support lecturers who provide small group and one to one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The University uses Canvas as its Virtual Learning Environment which provides a versatile, interactive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IT support: Canvas has its own dedicated 24-hour support available to students. Additional IT support can be accessed via ‘My Kingston’.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Access to world-class libraries, online learning facilities and other learning support. Library support staff offer academic skills development both within the library and also integrated into course delivery.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Qualified Disability Advisor who gives guidance on reasonable adjustments and support for the student and advises academic staff.</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Confidential counselling and pastoral support, including mental health support services.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Comprehensive occupational health services.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Practice learning support: each student is allocated a named practice supervisor who has an overall responsibility for supporting the student and facilitating learning during practice placements. Additional support may also be available locally, such as practice educators and student placement coordinators. All placement areas are supported by a link lecturer: a member of faculty staff who visits the area and provides support to students placed there and their practice supervisor, as required.</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NMC annual review of nursing and midwifery approved programmes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Health Education England (HEE) monitoring</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7"/>
        <w:gridCol w:w="368"/>
        <w:gridCol w:w="95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NG6000</w:t>
            </w:r>
          </w:p>
        </w:tc>
      </w:tr>
      <w:tr>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
    <w:name w:val="li"/>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F2D258E-0282-4A56-98BF-FD5C87823D0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