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MSc</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Network and Information Security</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05/03/2026</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16/10/2025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01/01/2027</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Engineering, Computing and the Environment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Computer Science and Mathematics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Networks and Digital Media</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Educare Global Academy, Singapore</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Network and Information Security</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PGCert Network and Information Security</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PGDip Network and Information Security</w:t>
            </w: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PFNSC1NSC21</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Educare Global Academy, Singapore</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Educare Global Academy - Singapore, Chinatown campus and Mountbatten campus</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Applicants for the MSc programme are normally expected to hold a good honours degree (or recognised equivalent) in a relevant discipline such as:</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Computer Science</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Information Technology</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Information Systems</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Network Engineering</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Cyber Security / Information Security</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Software Engineering</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Computing</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Digital Forensics</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Data Science or Data Analytics</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Telecommunications Engineering</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Electronic or Electrical Engineering (with networking or computing components)</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or other closely related disciplines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Qualifications awarded by recognised universities in Singapore and the wider region will be considered, including degrees from public and private institutions accredited by relevant national authorities.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Applicants with the following qualifications may be considered:</w:t>
            </w:r>
          </w:p>
          <w:p w:rsidRPr="2030048C" w:rsidP="2030048C">
            <w:pPr>
              <w:numPr>
                <w:ilvl w:val="0"/>
                <w:numId w:val="13"/>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 Bachelor’s degree in a relevant discipline from a recognised university or accredited private institution</w:t>
            </w:r>
          </w:p>
          <w:p w:rsidRPr="2030048C" w:rsidP="2030048C">
            <w:pPr>
              <w:numPr>
                <w:ilvl w:val="0"/>
                <w:numId w:val="13"/>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 relevant Graduate Diploma or Postgraduate Diploma with strong academic performance</w:t>
            </w:r>
          </w:p>
          <w:p w:rsidRPr="2030048C" w:rsidP="2030048C">
            <w:pPr>
              <w:numPr>
                <w:ilvl w:val="0"/>
                <w:numId w:val="13"/>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Polytechnic Diplomas (e.g., in IT, Computing, Software Engineering) combined with substantial relevant work experience may also be considered on a case-by-case basis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Applicants from other countries in the region will be assessed based on:</w:t>
            </w:r>
          </w:p>
          <w:p w:rsidRPr="2030048C" w:rsidP="2030048C">
            <w:pPr>
              <w:numPr>
                <w:ilvl w:val="0"/>
                <w:numId w:val="14"/>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Equivalence of their qualification to a UK honours degree</w:t>
            </w:r>
          </w:p>
          <w:p w:rsidRPr="2030048C" w:rsidP="2030048C">
            <w:pPr>
              <w:numPr>
                <w:ilvl w:val="0"/>
                <w:numId w:val="14"/>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Academic performance and subject relevance</w:t>
            </w:r>
          </w:p>
          <w:p w:rsidRPr="2030048C" w:rsidP="2030048C">
            <w:pPr>
              <w:numPr>
                <w:ilvl w:val="0"/>
                <w:numId w:val="14"/>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Professional experience in computing-related fields (where applicable)</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Non-standard entry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Applicants who do not hold a first degree may still be considered if they can demonstrate:</w:t>
            </w:r>
          </w:p>
          <w:p w:rsidRPr="2030048C" w:rsidP="2030048C">
            <w:pPr>
              <w:numPr>
                <w:ilvl w:val="0"/>
                <w:numId w:val="15"/>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At least 5 years of relevant professional experience in IT systems, networking, cyber security, software development, or related areas</w:t>
            </w:r>
          </w:p>
          <w:p w:rsidRPr="2030048C" w:rsidP="2030048C">
            <w:pPr>
              <w:numPr>
                <w:ilvl w:val="0"/>
                <w:numId w:val="15"/>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Evidence of technical capability and readiness for postgraduate study</w:t>
            </w:r>
          </w:p>
          <w:p w:rsidRPr="2030048C" w:rsidP="2030048C">
            <w:pPr>
              <w:numPr>
                <w:ilvl w:val="0"/>
                <w:numId w:val="15"/>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Strong motivation and potential to succeed at MSc level</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Such applications will be reviewed individually and may involve an interview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Applicants whose first language is not English must demonstrate proficiency equivalent to:</w:t>
            </w:r>
          </w:p>
          <w:p w:rsidRPr="2030048C" w:rsidP="2030048C">
            <w:pPr>
              <w:numPr>
                <w:ilvl w:val="0"/>
                <w:numId w:val="16"/>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IELTS</w:t>
            </w:r>
          </w:p>
          <w:p w:rsidRPr="2030048C" w:rsidP="2030048C">
            <w:pPr>
              <w:numPr>
                <w:ilvl w:val="1"/>
                <w:numId w:val="16"/>
              </w:numPr>
              <w:ind w:left="144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Overall score: 6.5</w:t>
            </w:r>
          </w:p>
          <w:p w:rsidRPr="2030048C" w:rsidP="2030048C">
            <w:pPr>
              <w:numPr>
                <w:ilvl w:val="1"/>
                <w:numId w:val="16"/>
              </w:numPr>
              <w:ind w:left="144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Writing: minimum 6.0</w:t>
            </w:r>
          </w:p>
          <w:p w:rsidRPr="2030048C" w:rsidP="2030048C">
            <w:pPr>
              <w:numPr>
                <w:ilvl w:val="1"/>
                <w:numId w:val="16"/>
              </w:numPr>
              <w:ind w:left="144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Reading, Listening, Speaking: minimum 5.5</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OR</w:t>
            </w:r>
          </w:p>
          <w:p w:rsidRPr="2030048C" w:rsidP="2030048C">
            <w:pPr>
              <w:numPr>
                <w:ilvl w:val="0"/>
                <w:numId w:val="17"/>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TOEFL iBT</w:t>
            </w:r>
          </w:p>
          <w:p w:rsidRPr="2030048C" w:rsidP="2030048C">
            <w:pPr>
              <w:numPr>
                <w:ilvl w:val="1"/>
                <w:numId w:val="17"/>
              </w:numPr>
              <w:ind w:left="144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Overall score: 88</w:t>
            </w:r>
          </w:p>
          <w:p w:rsidRPr="2030048C" w:rsidP="2030048C">
            <w:pPr>
              <w:numPr>
                <w:ilvl w:val="1"/>
                <w:numId w:val="17"/>
              </w:numPr>
              <w:ind w:left="144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Writing: 20</w:t>
            </w:r>
          </w:p>
          <w:p w:rsidRPr="2030048C" w:rsidP="2030048C">
            <w:pPr>
              <w:numPr>
                <w:ilvl w:val="1"/>
                <w:numId w:val="17"/>
              </w:numPr>
              <w:ind w:left="144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Reading: 20</w:t>
            </w:r>
          </w:p>
          <w:p w:rsidRPr="2030048C" w:rsidP="2030048C">
            <w:pPr>
              <w:numPr>
                <w:ilvl w:val="1"/>
                <w:numId w:val="17"/>
              </w:numPr>
              <w:ind w:left="144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Listening: 17</w:t>
            </w:r>
          </w:p>
          <w:p w:rsidRPr="2030048C" w:rsidP="2030048C">
            <w:pPr>
              <w:numPr>
                <w:ilvl w:val="1"/>
                <w:numId w:val="17"/>
              </w:numPr>
              <w:ind w:left="144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Speaking: 20</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Recognised English qualifications (regional equivalents)</w:t>
            </w:r>
          </w:p>
          <w:p w:rsidRPr="2030048C" w:rsidP="2030048C">
            <w:pPr>
              <w:numPr>
                <w:ilvl w:val="0"/>
                <w:numId w:val="18"/>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Singapore GCE O-Level English – Credit or above</w:t>
            </w:r>
          </w:p>
          <w:p w:rsidRPr="2030048C" w:rsidP="2030048C">
            <w:pPr>
              <w:numPr>
                <w:ilvl w:val="0"/>
                <w:numId w:val="18"/>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Diploma or Degree qualifications delivered fully in English</w:t>
            </w:r>
          </w:p>
          <w:p w:rsidRPr="2030048C" w:rsidP="2030048C">
            <w:pPr>
              <w:numPr>
                <w:ilvl w:val="0"/>
                <w:numId w:val="18"/>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Approved English for Academic Purposes (EAP) programmes at recognised institutions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English qualifications from regional partners will be assessed for equivalency in line with Kingston University regulations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i/>
                <w:iCs/>
                <w:color w:val="000000"/>
                <w:sz w:val="24"/>
                <w:szCs w:val="24"/>
                <w:shd w:val="clear" w:color="auto" w:fill="FFFFFF"/>
              </w:rPr>
              <w:t>Non-accredited programme</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None</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cell8d5fef647d3e47a189525bf5ae9f7e41"/>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i/>
          <w:iCs/>
          <w:color w:val="000000"/>
          <w:sz w:val="24"/>
          <w:szCs w:val="24"/>
          <w:shd w:val="clear" w:color="auto" w:fill="FFFFFF"/>
        </w:rPr>
        <w:t>The Aims of the Course are to:</w:t>
      </w:r>
    </w:p>
    <w:p w:rsidRPr="2030048C" w:rsidP="2030048C">
      <w:pPr>
        <w:pStyle w:val="cell8d5fef647d3e47a189525bf5ae9f7e41"/>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0"/>
          <w:szCs w:val="20"/>
          <w:shd w:val="clear" w:color="auto" w:fill="FFFFFF"/>
        </w:rPr>
        <w:t> </w:t>
      </w:r>
    </w:p>
    <w:p w:rsidRPr="2030048C" w:rsidP="2030048C">
      <w:pPr>
        <w:pStyle w:val="ListParagraph"/>
        <w:numPr>
          <w:ilvl w:val="0"/>
          <w:numId w:val="19"/>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provide students with knowledge, skills and a critical appreciation of technical, professional, legal and ethical aspects of Network and Information Security;</w:t>
      </w:r>
      <w:r w:rsidRPr="2030048C">
        <w:rPr>
          <w:rStyle w:val="normaltextrun"/>
          <w:rFonts w:ascii="Arial" w:hAnsi="Arial" w:cs="Arial"/>
          <w:color w:val="000000" w:themeColor="text1"/>
          <w:sz w:val="24"/>
          <w:szCs w:val="24"/>
          <w:shd w:val="clear" w:color="auto" w:fill="FFFFFF"/>
        </w:rPr>
        <w:br/>
      </w: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20"/>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enable students to analyse a system and design an appropriate, custom solution;</w:t>
      </w:r>
      <w:r w:rsidRPr="2030048C">
        <w:rPr>
          <w:rStyle w:val="normaltextrun"/>
          <w:rFonts w:ascii="Arial" w:hAnsi="Arial" w:cs="Arial"/>
          <w:color w:val="000000" w:themeColor="text1"/>
          <w:sz w:val="24"/>
          <w:szCs w:val="24"/>
          <w:shd w:val="clear" w:color="auto" w:fill="FFFFFF"/>
        </w:rPr>
        <w:br/>
      </w: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20"/>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subject related practical skills;</w:t>
      </w:r>
      <w:r w:rsidRPr="2030048C">
        <w:rPr>
          <w:rStyle w:val="normaltextrun"/>
          <w:rFonts w:ascii="Arial" w:hAnsi="Arial" w:cs="Arial"/>
          <w:color w:val="000000" w:themeColor="text1"/>
          <w:sz w:val="24"/>
          <w:szCs w:val="24"/>
          <w:shd w:val="clear" w:color="auto" w:fill="FFFFFF"/>
        </w:rPr>
        <w:br/>
      </w: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20"/>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provide students with the opportunities to develop their written and oral communication skills;</w:t>
      </w:r>
      <w:r w:rsidRPr="2030048C">
        <w:rPr>
          <w:rStyle w:val="normaltextrun"/>
          <w:rFonts w:ascii="Arial" w:hAnsi="Arial" w:cs="Arial"/>
          <w:color w:val="000000" w:themeColor="text1"/>
          <w:sz w:val="24"/>
          <w:szCs w:val="24"/>
          <w:shd w:val="clear" w:color="auto" w:fill="FFFFFF"/>
        </w:rPr>
        <w:br/>
      </w: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20"/>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prepare students for employment, research, further study and lifelong learning by developing their intellectual, problem-solving, practical and key (transferable) skills.</w:t>
      </w:r>
    </w:p>
    <w:p w:rsidRPr="2030048C" w:rsidP="2030048C">
      <w:pPr>
        <w:pStyle w:val="MsoBodyText28d5fef647d3e47a189525bf5ae9f7e41"/>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i/>
          <w:iCs/>
          <w:color w:val="000000"/>
          <w:sz w:val="24"/>
          <w:szCs w:val="24"/>
          <w:shd w:val="clear" w:color="auto" w:fill="FFFFFF"/>
        </w:rPr>
        <w:t>In addition the MSc will enable the students to:</w:t>
      </w:r>
    </w:p>
    <w:p w:rsidRPr="2030048C" w:rsidP="2030048C">
      <w:pPr>
        <w:pStyle w:val="ListParagraph"/>
        <w:numPr>
          <w:ilvl w:val="0"/>
          <w:numId w:val="21"/>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enable students to identify, locate and critically appraise secondary and primary sources as a basis for independent study, technical papers and a major research project.</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critical awareness of the current developments and future trends in cryptography and network security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Depth of knowledge in the complex and specialised areas of Network Security and Cryptography and considerable breadth of knowledge across networking and secure &amp; dependable computing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Carry out subject related practical tasks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Design and deploy a secure and dependable network infrastructure showing a detailed understanding of the underlying principles and practical techniques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An ability to deal with complexity, lacunae and contradictions in a complex knowledge base using appropriate methods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Encode/decode data with a variety of algorithms appropriate for different situations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and specify security requirements, including: security polices and countermeasures for network services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Independent evaluation of alternative approaches (including their own) together with the ability to accurately report this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vulnerability assessment and auditing tools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knowledge and understanding of relevant data communications standards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 confident response to problems by autonomously synthesising information and ideas to provide appropriate solutions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Configure a firewall and other network security mechanisms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Awareness of the ethical, legal and professional issues in the deployment of security countermeasures and assessment tools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Configure network properties for different types of network nodes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2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2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2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2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2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2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2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2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2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Note: As per </w:t>
      </w:r>
      <w:hyperlink r:id="rId11" w:anchor="blockid21000" w:history="1">
        <w:r w:rsidRPr="2030048C">
          <w:rPr>
            <w:rFonts w:ascii="Arial" w:eastAsia="Arial" w:hAnsi="Arial" w:cs="Arial"/>
            <w:color w:val="000000" w:themeColor="text1" w:themeShade="FF" w:themeTint="FF"/>
            <w:sz w:val="24"/>
            <w:szCs w:val="24"/>
          </w:rPr>
          <w:t>GR5</w:t>
        </w:r>
      </w:hyperlink>
      <w:r w:rsidRPr="2030048C">
        <w:rPr>
          <w:rFonts w:ascii="Arial" w:eastAsia="Arial" w:hAnsi="Arial" w:cs="Arial"/>
          <w:color w:val="000000" w:themeColor="text1" w:themeShade="FF" w:themeTint="FF"/>
          <w:sz w:val="24"/>
          <w:szCs w:val="24"/>
        </w:rPr>
        <w:t xml:space="preserve"> within the general regulations, the University aims to ensure that all option modules listed below are delivered. However, for various reasons, such as demand, the availability of option modules may vary from year to year or between teaching blocks. Students will be informed of the availability of option modules through the Online Module Selection process.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Network and Information Security</w:t>
      </w:r>
    </w:p>
    <w:p w:rsidR="008B5CAF" w:rsidRPr="008B5CAF" w:rsidP="008B5CAF" w14:paraId="22073769" w14:textId="77777777">
      <w:pPr>
        <w:rPr>
          <w:rFonts w:eastAsia="Arial"/>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Network and Information Security</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Cryptography and Applications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CI7100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Network and Information Security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CI7130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Project Dissertation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CI7000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672489F3"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A6D3DC" w14:textId="5B39F523">
            <w:pPr>
              <w:rPr>
                <w:rFonts w:ascii="Arial" w:eastAsia="Arial" w:hAnsi="Arial" w:cs="Arial"/>
                <w:sz w:val="24"/>
                <w:szCs w:val="24"/>
              </w:rPr>
            </w:pPr>
            <w:r w:rsidRPr="7AD52F4D" w:rsidR="0B91E765">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C1ED397" w14:textId="2A8659F8">
            <w:pPr>
              <w:jc w:val="center"/>
              <w:rPr>
                <w:rFonts w:ascii="Arial" w:eastAsia="Arial" w:hAnsi="Arial" w:cs="Arial"/>
                <w:sz w:val="24"/>
                <w:szCs w:val="24"/>
              </w:rPr>
            </w:pP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5562862" w14:textId="1FDDCB01">
            <w:pPr>
              <w:jc w:val="center"/>
              <w:rPr>
                <w:rFonts w:ascii="Arial" w:eastAsia="Arial" w:hAnsi="Arial" w:cs="Arial"/>
                <w:sz w:val="24"/>
                <w:szCs w:val="24"/>
              </w:rPr>
            </w:pP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B1BC58" w14:textId="7115D7A1">
            <w:pPr>
              <w:jc w:val="center"/>
              <w:rPr>
                <w:rFonts w:ascii="Arial" w:eastAsia="Arial" w:hAnsi="Arial" w:cs="Arial"/>
                <w:sz w:val="24"/>
                <w:szCs w:val="24"/>
              </w:rPr>
            </w:pP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200B506" w14:textId="51CB6F90">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3C8E7A" w14:textId="4565A23F">
            <w:pPr>
              <w:jc w:val="center"/>
              <w:rPr>
                <w:rFonts w:ascii="Arial" w:eastAsia="Arial" w:hAnsi="Arial" w:cs="Arial"/>
                <w:sz w:val="24"/>
                <w:szCs w:val="24"/>
              </w:rPr>
            </w:pP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E06BCF8" w14:textId="3C0EB01E">
            <w:pPr>
              <w:jc w:val="center"/>
              <w:rPr>
                <w:rFonts w:ascii="Arial" w:eastAsia="Arial" w:hAnsi="Arial" w:cs="Arial"/>
                <w:sz w:val="24"/>
                <w:szCs w:val="24"/>
              </w:rPr>
            </w:pP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7CFB8B" w14:textId="694F06F4">
            <w:pPr>
              <w:jc w:val="center"/>
              <w:rPr>
                <w:rFonts w:ascii="Arial" w:eastAsia="Arial" w:hAnsi="Arial" w:cs="Arial"/>
                <w:sz w:val="24"/>
                <w:szCs w:val="24"/>
              </w:rPr>
            </w:pPr>
          </w:p>
        </w:tc>
      </w:tr>
      <w:tr w14:paraId="21361E9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F842BDD" w14:textId="6D42EEE4">
            <w:pPr>
              <w:rPr>
                <w:rFonts w:ascii="Arial" w:eastAsia="Arial" w:hAnsi="Arial" w:cs="Arial"/>
                <w:sz w:val="24"/>
                <w:szCs w:val="24"/>
                <w:lang w:val="en-GB"/>
              </w:rPr>
            </w:pPr>
            <w:r w:rsidRPr="2030048C" w:rsidR="073AEBF5">
              <w:rPr>
                <w:rFonts w:ascii="Arial" w:eastAsia="Arial" w:hAnsi="Arial" w:cs="Arial"/>
                <w:sz w:val="24"/>
                <w:szCs w:val="24"/>
                <w:lang w:val="en-GB"/>
              </w:rPr>
              <w:t>Advanced Data Communications and AI</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BC3B1EF"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CI7111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05ABF21"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0310B5"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8700E5A"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BB382F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2FD2BF9"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2FB572B5" w14:textId="0AA1A43D">
            <w:pPr>
              <w:jc w:val="center"/>
              <w:rPr>
                <w:rFonts w:ascii="Arial" w:eastAsia="Arial" w:hAnsi="Arial" w:cs="Arial"/>
                <w:sz w:val="24"/>
                <w:szCs w:val="24"/>
              </w:rPr>
            </w:pPr>
          </w:p>
        </w:tc>
      </w:tr>
      <w:tr w14:paraId="21361EA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Cloud Computing and Networking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CI7360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p>
        </w:tc>
      </w:tr>
      <w:tr w14:paraId="21361EA1"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Cyber Security and Artificial Intelligence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CI7530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p>
        </w:tc>
      </w:tr>
      <w:tr w14:paraId="21361EA2"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Mobile Security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CI7160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are eligible for the award of Postgraduate Diploma.</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(including Learning Design Principles and Inclusive Curriculum).</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w:t>
      </w:r>
    </w:p>
    <w:p w:rsidR="3D0EBCB8"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w:t>
      </w:r>
    </w:p>
    <w:p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3345"/>
        <w:gridCol w:w="367"/>
        <w:gridCol w:w="835"/>
        <w:gridCol w:w="835"/>
        <w:gridCol w:w="835"/>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CI7100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CI7130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CI7000</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sz w:val="24"/>
          <w:szCs w:val="24"/>
        </w:rPr>
        <w:t>Intakes in January, May and September</w:t>
      </w:r>
    </w:p>
    <w:p w:rsidRPr="2030048C" w:rsidP="2030048C">
      <w:pPr>
        <w:rPr>
          <w:rFonts w:ascii="Arial" w:eastAsia="Arial" w:hAnsi="Arial" w:cs="Arial"/>
          <w:sz w:val="24"/>
          <w:szCs w:val="24"/>
        </w:rPr>
      </w:pPr>
      <w:r w:rsidRPr="2030048C">
        <w:rPr>
          <w:rFonts w:ascii="Arial" w:eastAsia="Arial" w:hAnsi="Arial" w:cs="Arial"/>
          <w:sz w:val="24"/>
          <w:szCs w:val="24"/>
        </w:rPr>
        <w:t>For May intake</w:t>
      </w:r>
    </w:p>
    <w:p w:rsidRPr="2030048C" w:rsidP="2030048C">
      <w:pPr>
        <w:rPr>
          <w:rFonts w:ascii="Arial" w:eastAsia="Arial" w:hAnsi="Arial" w:cs="Arial"/>
          <w:sz w:val="24"/>
          <w:szCs w:val="24"/>
        </w:rPr>
      </w:pPr>
      <w:r w:rsidRPr="2030048C">
        <w:rPr>
          <w:rFonts w:ascii="Arial" w:eastAsia="Arial" w:hAnsi="Arial" w:cs="Arial"/>
          <w:sz w:val="24"/>
          <w:szCs w:val="24"/>
        </w:rPr>
        <w:t>Cryptography and Applications TB1</w:t>
      </w:r>
    </w:p>
    <w:p w:rsidRPr="2030048C" w:rsidP="2030048C">
      <w:pPr>
        <w:rPr>
          <w:rFonts w:ascii="Arial" w:eastAsia="Arial" w:hAnsi="Arial" w:cs="Arial"/>
          <w:sz w:val="24"/>
          <w:szCs w:val="24"/>
        </w:rPr>
      </w:pPr>
      <w:r w:rsidRPr="2030048C">
        <w:rPr>
          <w:rFonts w:ascii="Arial" w:eastAsia="Arial" w:hAnsi="Arial" w:cs="Arial"/>
          <w:sz w:val="24"/>
          <w:szCs w:val="24"/>
        </w:rPr>
        <w:t>Network and Information Security TB3</w:t>
      </w:r>
    </w:p>
    <w:p w:rsidRPr="2030048C" w:rsidP="2030048C">
      <w:pPr>
        <w:rPr>
          <w:rFonts w:ascii="Arial" w:eastAsia="Arial" w:hAnsi="Arial" w:cs="Arial"/>
          <w:sz w:val="24"/>
          <w:szCs w:val="24"/>
        </w:rPr>
      </w:pPr>
      <w:r w:rsidRPr="2030048C">
        <w:rPr>
          <w:rFonts w:ascii="Arial" w:eastAsia="Arial" w:hAnsi="Arial" w:cs="Arial"/>
          <w:sz w:val="24"/>
          <w:szCs w:val="24"/>
        </w:rPr>
        <w:t>Project Dissertation SPAN (TB3 -TB1)</w:t>
      </w:r>
    </w:p>
    <w:p w:rsidRPr="2030048C" w:rsidP="2030048C">
      <w:pPr>
        <w:rPr>
          <w:rFonts w:ascii="Arial" w:eastAsia="Arial" w:hAnsi="Arial" w:cs="Arial"/>
          <w:sz w:val="24"/>
          <w:szCs w:val="24"/>
        </w:rPr>
      </w:pPr>
      <w:r w:rsidRPr="2030048C">
        <w:rPr>
          <w:rFonts w:ascii="Arial" w:eastAsia="Arial" w:hAnsi="Arial" w:cs="Arial"/>
          <w:sz w:val="24"/>
          <w:szCs w:val="24"/>
        </w:rPr>
        <w:t>Advanced Data Communication and AI TB3</w:t>
      </w:r>
    </w:p>
    <w:p w:rsidRPr="2030048C" w:rsidP="2030048C">
      <w:pPr>
        <w:rPr>
          <w:rFonts w:ascii="Arial" w:eastAsia="Arial" w:hAnsi="Arial" w:cs="Arial"/>
          <w:sz w:val="24"/>
          <w:szCs w:val="24"/>
        </w:rPr>
      </w:pPr>
      <w:r w:rsidRPr="2030048C">
        <w:rPr>
          <w:rFonts w:ascii="Arial" w:eastAsia="Arial" w:hAnsi="Arial" w:cs="Arial"/>
          <w:sz w:val="24"/>
          <w:szCs w:val="24"/>
        </w:rPr>
        <w:t>Cloud Computing TB1</w:t>
      </w:r>
    </w:p>
    <w:p w:rsidRPr="2030048C" w:rsidP="2030048C">
      <w:pPr>
        <w:rPr>
          <w:rFonts w:ascii="Arial" w:eastAsia="Arial" w:hAnsi="Arial" w:cs="Arial"/>
          <w:sz w:val="24"/>
          <w:szCs w:val="24"/>
        </w:rPr>
      </w:pPr>
      <w:r w:rsidRPr="2030048C">
        <w:rPr>
          <w:rFonts w:ascii="Arial" w:eastAsia="Arial" w:hAnsi="Arial" w:cs="Arial"/>
          <w:sz w:val="24"/>
          <w:szCs w:val="24"/>
        </w:rPr>
        <w:t>Cyber and AI TB3</w:t>
      </w:r>
    </w:p>
    <w:p w:rsidRPr="2030048C" w:rsidP="2030048C">
      <w:pPr>
        <w:rPr>
          <w:rFonts w:ascii="Arial" w:eastAsia="Arial" w:hAnsi="Arial" w:cs="Arial"/>
          <w:sz w:val="24"/>
          <w:szCs w:val="24"/>
        </w:rPr>
      </w:pPr>
      <w:r w:rsidRPr="2030048C">
        <w:rPr>
          <w:rFonts w:ascii="Arial" w:eastAsia="Arial" w:hAnsi="Arial" w:cs="Arial"/>
          <w:sz w:val="24"/>
          <w:szCs w:val="24"/>
        </w:rPr>
        <w:t>Mobile Security TB1</w:t>
      </w:r>
    </w:p>
    <w:p w:rsidRPr="2030048C" w:rsidP="2030048C">
      <w:pPr>
        <w:rPr>
          <w:rFonts w:ascii="Arial" w:eastAsia="Arial" w:hAnsi="Arial" w:cs="Arial"/>
          <w:sz w:val="24"/>
          <w:szCs w:val="24"/>
        </w:rPr>
      </w:pPr>
      <w:r w:rsidRPr="2030048C">
        <w:rPr>
          <w:rFonts w:ascii="Arial" w:eastAsia="Arial" w:hAnsi="Arial" w:cs="Arial"/>
          <w:sz w:val="24"/>
          <w:szCs w:val="24"/>
        </w:rPr>
        <w:t>For January intake</w:t>
      </w:r>
    </w:p>
    <w:p w:rsidRPr="2030048C" w:rsidP="2030048C">
      <w:pPr>
        <w:rPr>
          <w:rFonts w:ascii="Arial" w:eastAsia="Arial" w:hAnsi="Arial" w:cs="Arial"/>
          <w:sz w:val="24"/>
          <w:szCs w:val="24"/>
        </w:rPr>
      </w:pPr>
      <w:r w:rsidRPr="2030048C">
        <w:rPr>
          <w:rFonts w:ascii="Arial" w:eastAsia="Arial" w:hAnsi="Arial" w:cs="Arial"/>
          <w:sz w:val="24"/>
          <w:szCs w:val="24"/>
        </w:rPr>
        <w:t>Cryptography and Applications TB1</w:t>
      </w:r>
    </w:p>
    <w:p w:rsidRPr="2030048C" w:rsidP="2030048C">
      <w:pPr>
        <w:rPr>
          <w:rFonts w:ascii="Arial" w:eastAsia="Arial" w:hAnsi="Arial" w:cs="Arial"/>
          <w:sz w:val="24"/>
          <w:szCs w:val="24"/>
        </w:rPr>
      </w:pPr>
      <w:r w:rsidRPr="2030048C">
        <w:rPr>
          <w:rFonts w:ascii="Arial" w:eastAsia="Arial" w:hAnsi="Arial" w:cs="Arial"/>
          <w:sz w:val="24"/>
          <w:szCs w:val="24"/>
        </w:rPr>
        <w:t>Network and Information Security TB2</w:t>
      </w:r>
    </w:p>
    <w:p w:rsidRPr="2030048C" w:rsidP="2030048C">
      <w:pPr>
        <w:rPr>
          <w:rFonts w:ascii="Arial" w:eastAsia="Arial" w:hAnsi="Arial" w:cs="Arial"/>
          <w:sz w:val="24"/>
          <w:szCs w:val="24"/>
        </w:rPr>
      </w:pPr>
      <w:r w:rsidRPr="2030048C">
        <w:rPr>
          <w:rFonts w:ascii="Arial" w:eastAsia="Arial" w:hAnsi="Arial" w:cs="Arial"/>
          <w:sz w:val="24"/>
          <w:szCs w:val="24"/>
        </w:rPr>
        <w:t>Project Dissertation SPAN (TB2 and TB1)</w:t>
      </w:r>
    </w:p>
    <w:p w:rsidRPr="2030048C" w:rsidP="2030048C">
      <w:pPr>
        <w:rPr>
          <w:rFonts w:ascii="Arial" w:eastAsia="Arial" w:hAnsi="Arial" w:cs="Arial"/>
          <w:sz w:val="24"/>
          <w:szCs w:val="24"/>
        </w:rPr>
      </w:pPr>
      <w:r w:rsidRPr="2030048C">
        <w:rPr>
          <w:rFonts w:ascii="Arial" w:eastAsia="Arial" w:hAnsi="Arial" w:cs="Arial"/>
          <w:sz w:val="24"/>
          <w:szCs w:val="24"/>
        </w:rPr>
        <w:t>Advanced Data Communication and AI TB2</w:t>
      </w:r>
    </w:p>
    <w:p w:rsidRPr="2030048C" w:rsidP="2030048C">
      <w:pPr>
        <w:rPr>
          <w:rFonts w:ascii="Arial" w:eastAsia="Arial" w:hAnsi="Arial" w:cs="Arial"/>
          <w:sz w:val="24"/>
          <w:szCs w:val="24"/>
        </w:rPr>
      </w:pPr>
      <w:r w:rsidRPr="2030048C">
        <w:rPr>
          <w:rFonts w:ascii="Arial" w:eastAsia="Arial" w:hAnsi="Arial" w:cs="Arial"/>
          <w:sz w:val="24"/>
          <w:szCs w:val="24"/>
        </w:rPr>
        <w:t>Cloud Computing TB1</w:t>
      </w:r>
    </w:p>
    <w:p w:rsidRPr="2030048C" w:rsidP="2030048C">
      <w:pPr>
        <w:rPr>
          <w:rFonts w:ascii="Arial" w:eastAsia="Arial" w:hAnsi="Arial" w:cs="Arial"/>
          <w:sz w:val="24"/>
          <w:szCs w:val="24"/>
        </w:rPr>
      </w:pPr>
      <w:r w:rsidRPr="2030048C">
        <w:rPr>
          <w:rFonts w:ascii="Arial" w:eastAsia="Arial" w:hAnsi="Arial" w:cs="Arial"/>
          <w:sz w:val="24"/>
          <w:szCs w:val="24"/>
        </w:rPr>
        <w:t>Cyber and AI TB2</w:t>
      </w:r>
    </w:p>
    <w:p w:rsidRPr="2030048C" w:rsidP="2030048C">
      <w:pPr>
        <w:rPr>
          <w:rFonts w:ascii="Arial" w:eastAsia="Arial" w:hAnsi="Arial" w:cs="Arial"/>
          <w:sz w:val="24"/>
          <w:szCs w:val="24"/>
        </w:rPr>
      </w:pPr>
      <w:r w:rsidRPr="2030048C">
        <w:rPr>
          <w:rFonts w:ascii="Arial" w:eastAsia="Arial" w:hAnsi="Arial" w:cs="Arial"/>
          <w:sz w:val="24"/>
          <w:szCs w:val="24"/>
        </w:rPr>
        <w:t>Mobile Security TB1</w:t>
      </w:r>
    </w:p>
    <w:p w:rsidRPr="2030048C" w:rsidP="2030048C">
      <w:pPr>
        <w:rPr>
          <w:rFonts w:ascii="Arial" w:eastAsia="Arial" w:hAnsi="Arial" w:cs="Arial"/>
          <w:sz w:val="24"/>
          <w:szCs w:val="24"/>
        </w:rPr>
      </w:pPr>
      <w:r w:rsidRPr="2030048C">
        <w:rPr>
          <w:rFonts w:ascii="Arial" w:eastAsia="Arial" w:hAnsi="Arial" w:cs="Arial"/>
          <w:sz w:val="24"/>
          <w:szCs w:val="24"/>
        </w:rPr>
        <w:t> </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74989B10"/>
    <w:multiLevelType w:val="multilevel"/>
    <w:tmpl w:val="74989B10"/>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74989B11"/>
    <w:multiLevelType w:val="hybridMultilevel"/>
    <w:tmpl w:val="74989B1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3">
    <w:nsid w:val="74989B12"/>
    <w:multiLevelType w:val="hybridMultilevel"/>
    <w:tmpl w:val="74989B1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4">
    <w:nsid w:val="74989B13"/>
    <w:multiLevelType w:val="hybridMultilevel"/>
    <w:tmpl w:val="74989B1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5">
    <w:nsid w:val="74989B14"/>
    <w:multiLevelType w:val="hybridMultilevel"/>
    <w:tmpl w:val="74989B14"/>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cell8d5fef647d3e47a189525bf5ae9f7e41">
    <w:name w:val="cell_8d5fef647d3e47a189525bf5ae9f7e41"/>
    <w:basedOn w:val="ListParagraph"/>
  </w:style>
  <w:style w:type="paragraph" w:customStyle="1" w:styleId="MsoBodyText28d5fef647d3e47a189525bf5ae9f7e41">
    <w:name w:val="MsoBodyText2_8d5fef647d3e47a189525bf5ae9f7e41"/>
    <w:basedOn w:val="ListParagraph"/>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kingston.ac.uk/aboutkingstonuniversity/howtheuniversityworks/policiesandregulations/" TargetMode="External"/><Relationship Id="rId6" Type="http://schemas.openxmlformats.org/officeDocument/2006/relationships/customXml" Target="../customXml/item3.xml"/><Relationship Id="rId10" Type="http://schemas.openxmlformats.org/officeDocument/2006/relationships/footer" Target="footer1.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A4DA1339-166A-4AB5-8B49-8C8F0BFA3D35}"/>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