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Mechatronic Systems</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23/10/2024</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09/07/2025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10</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Engineering</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Mechanical Engineering</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ESOFT</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Mechatronic Systems</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PgDip</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PgCert</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PPMTS1MTS21</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PFMTS1MTS21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ESOFT</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ESOFT Metro Campus (Katubedda), Sri Lanka (ECET)</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Non-accredited programme</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To comply with Engineering Council regulations, compensation cannot be applied to any module within this programme.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main aims of the MSc Mechatronic Systems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a “period of further learning” which is a requirement of the Institution of Mechanical Engineers for Chartered Engineer status for students with an accredited BEng.</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students with knowledge, skills, and a critical appreciation of the principles of operation and the main components of mechatronic systems: control systems, modelling and simulation of mechanical and robotic devices, image and signal processing, artificial intelligence methods and embedded software engineering.</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students with the ability of conceiving, designing, prototyping, and producing creative mechatronic systems solutions.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students with the professional attitudes, entrepreneurial spirit, and many transferable skills necessary to develop and exploit their technical abilities in the furtherance of their careers within the evolving mechatronic systems industry.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Adopt a disciplined engineering approach and sound practical skills in the development and deployment of mechatronic systems using modern engineering design tools, methods, and standards.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Acquire specialised knowledge and skills in selected areas of mechatronics. For example, digital image and signal processing, machine learning, modelling and simulation, and industrial control.</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Demonstrate an understanding of the major technical, economic, organizational, and human factors which guide the design, implementation, and management of mechatronic systems.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Practice the theoretical concepts and knowledge acquired using the taught modules in a substantial research or industrial based project.</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Initiate, plan, and sustain a disciplined personal effort with academic rigour during the project, leading to an original, individual, and innovative academic dissertation.</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awareness of the current developments in the mechatronics in a variety of application areas such as robotics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Learn independently, think logically and critically and demonstrate a systematic approach to problem-analysis and to finding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Design, implement and test the major components required for a practical mechatronic system for applications such as robotics, assistive technologies, avionics and automotive engineering.</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Design and deploy mechatronic systems showing a detailed understanding of principles and practical techniques of modelling and simulation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evaluate and communicate research in the chosen area.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Gather, analyse and specify user requirements for mechatronic systems.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Reflect on the ethical legal and professional issues in the deployment of mechatronic systems.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current issues and trends in the areas of electronic, mechanical, software and control systems.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Express jointly mechanical, electronic, software and control designs using a standard notation and to select and apply a suitable modelling and simulation/ CAD software to coordinate the development and deployment of mechatronic systems.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1" w:anchor="blockid21000"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Students will be informed of the availability of option modules through the Online Module Selection process.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Mechatronic Systems</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Mechatronic Systems</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Advanced Control Systems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ME7025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Design of Autonomous Systems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ME7027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Dissertation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ME7743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Industrial Robotics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ME7737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Machine Learning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ME7026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Research Techniques, Innovation &amp; Sustainability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ME7742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Biologically Inspired Robotics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ME7029</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r w14:paraId="21361EA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Human Robot Interaction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ME7028</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2</w:t>
            </w:r>
          </w:p>
        </w:tc>
      </w:tr>
      <w:tr w14:paraId="21361EA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ME7900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3</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6"/>
        </w:numPr>
        <w:bidi w:val="0"/>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2801"/>
        <w:gridCol w:w="367"/>
        <w:gridCol w:w="954"/>
        <w:gridCol w:w="954"/>
        <w:gridCol w:w="954"/>
        <w:gridCol w:w="954"/>
        <w:gridCol w:w="954"/>
        <w:gridCol w:w="954"/>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ME7025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ME7026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ME7737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ME7027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ME7743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ME7742</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B5EE9C4D-0E8F-4782-832B-064D1161BD10}"/>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