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Design and Systems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Design and Systems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Design and Systems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in Product Design and Manufacturing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Design and Systems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PPDSG1DSG20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PFDSG1DSG20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Design and Systems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Design and Systems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in Product Design and Manufacturing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Design and Systems Engineering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PFDSG1DSG99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Institution of Mechanical Engineers</w:t>
            </w: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To comply with Engineering Council regulations, a maximum of 20 credits may be compensated within this programme. As the programme includes both 30 and 15-credit modules, only one 15-credit module may be compensated.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In accordance with Kingston University postgraduate regulations, a student may be awarded compensation for up to 30 credits. Provided this condition is met, the student remains eligible for the non-accredited award in MSc in Product Design and Manufacturing.</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Advanced Product Engineering and Manufacturing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multi-disciplinary understanding and the key skills necessary to apply the principles of specialised subjects within the engineering field.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personal attributes and skills expected of a graduate with a master’s degree and to give them a secure foundation for their personal, intellectual, and professional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acquire a detailed knowledge of understanding of the latest Computer Aided techniques used in field of Engineering Product Design and Manufacture.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scientific approach in proposing the necessary steps required to design and evaluate a technically functional product within the given specifications and constraints.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further enhance the knowledge of computer aided product design by engaging in an industrial oriented project. The student is required to apply all the techniques he has learnt on the course to produce satisfactory results and make feasible recommendations, supported by a broad literature research.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principles of entrepreneurship and detailed requirements for the management, quality, safety and environmental issues in respect to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the critical community including reflecting on one own and others practices and relate them to a product design procedure.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technical systems and specifications for a Manufacturing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Control projects in respect to time, cost and the risks inherent in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understand and analyse complex problems in product design engineering, using advanced CAD/CAM/CAE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latest CAD/CAM and CAE systems to facilitate better optimisation and more efficient product design and manufacturing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and apply sophisticated computer design methods various manufacturing options to achieve rapid and reliable product.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product design, mechanical, software and manufacture.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 product data management PDM and the product lifecycle management PLM strategies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specialized subjects necessary to apply the principles of computer product design and concurrent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 critical awareness of the current developments in the engineering product design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additive (3D printing) and subtractive (CNC) manufacturing techniques and a variety of measurement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must complete a portfolio assessment which includes a reflection on how the theories they have learnt during their teaching year have helped them in their placement and demonstrate ability to apply their teaching in a real-world situation.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Design and Systems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Design and Systems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CAD\/CAM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Engineering Simulation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Product Design Cycle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Quality Management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Design and Systems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principles of teaching, learning and assessment are in line with the University's strategy. The fields are designed to give students a balanced portfolio of theoretical and practical experience, embracing diversity and individuality. </w:t>
      </w:r>
    </w:p>
    <w:p w:rsidRPr="2030048C" w:rsidP="2030048C">
      <w:pPr>
        <w:rPr>
          <w:rFonts w:ascii="Arial" w:eastAsia="Arial" w:hAnsi="Arial" w:cs="Arial"/>
          <w:sz w:val="24"/>
          <w:szCs w:val="24"/>
        </w:rPr>
      </w:pPr>
      <w:r w:rsidRPr="2030048C">
        <w:rPr>
          <w:rFonts w:ascii="Arial" w:eastAsia="Arial" w:hAnsi="Arial" w:cs="Arial"/>
          <w:sz w:val="24"/>
          <w:szCs w:val="24"/>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 reverse engineering, 3D printing, and the product data management are all driven by the latest research and use of cutting-edge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It is recognised that teamwork is a very important aspect in industry, and this is implemented in the modules. The course ensures that the students are exposed to team working through group presentations, joint report writing, joint research and lab work, promoting consideration, courtesy, and collegiality.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teams are aware of the need for effective communication, both written and verbal, and take pride in the fact that the courses provide, in this regard, a means of preparing the students for their longer-term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individual project dissertation provides a challenge to the candidate to undertake a real-world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 The project work is normally aligned with the research field of the staff involved and often leads to students publishing of join papers with their project supervisor.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also have a range of opportunities to participate in extra-curricular activities based around clubs and societies (e.g., Formula Student Club and Engineering society), which offer further opportunities to develop their communication skills, teamwork, and ability to apply their theoretical knowledge to hands-on activities.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embraces the use of Technology Enhanced Learning (TEL) to engage students actively. Some of the most widely used technologies in problem-solving activities are computer simulations and modelling which encompass Finite Elements Analysis (FEA), Computer Aided Design &amp; Manufacture (CAD/CAM) in the curriculum. Digital tools such as a team’s work file syncs Cloud, VLE assessment and YouTube videos are used to enhance the quality of student learning experience.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Research-informed teaching  </w:t>
      </w:r>
    </w:p>
    <w:p w:rsidRPr="2030048C" w:rsidP="2030048C">
      <w:pPr>
        <w:rPr>
          <w:rFonts w:ascii="Arial" w:eastAsia="Arial" w:hAnsi="Arial" w:cs="Arial"/>
          <w:sz w:val="24"/>
          <w:szCs w:val="24"/>
        </w:rPr>
      </w:pPr>
      <w:r w:rsidRPr="2030048C">
        <w:rPr>
          <w:rFonts w:ascii="Arial" w:eastAsia="Arial" w:hAnsi="Arial" w:cs="Arial"/>
          <w:sz w:val="24"/>
          <w:szCs w:val="24"/>
        </w:rPr>
        <w:t>Most of the module teams are engaged in engineering research or industry-related professional activities, such as Knowledge Transfer Partnerships (KTPs), which have significantly influenced the design and content of the programme. The Department’s Industrial Advisory Board also provides valuable input from industry, further informing the programme’s development.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academic staff are committed to continuous professional development in teaching and learning in higher education and wider pedagogic issues. Their research and development of innovative ideas informs the curriculum and enhances student learning experience both within and outside the classroom.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Inclusive teaching practice  </w:t>
      </w:r>
    </w:p>
    <w:p w:rsidRPr="2030048C" w:rsidP="2030048C">
      <w:pPr>
        <w:rPr>
          <w:rFonts w:ascii="Arial" w:eastAsia="Arial" w:hAnsi="Arial" w:cs="Arial"/>
          <w:sz w:val="24"/>
          <w:szCs w:val="24"/>
        </w:rPr>
      </w:pPr>
      <w:r w:rsidRPr="2030048C">
        <w:rPr>
          <w:rFonts w:ascii="Arial" w:eastAsia="Arial" w:hAnsi="Arial" w:cs="Arial"/>
          <w:sz w:val="24"/>
          <w:szCs w:val="24"/>
        </w:rPr>
        <w:t>The University is committed to an inclusive curriculum, encouraging students to consider themselves as members of a professional community. The Student Voice Committee provides a platform for students to voice their opinions and suggest improvements for developing a more inclusive curriculum that takes into account the specific circumstances of the student body. To cater to different learning preferences and experiences, a diverse range of teaching activities is provided with a careful balance between individual and group-based activities. The assessment brief, provided at the beginning of the year, includes marking criteria for all assessments. The language used in the criteria is clear and concise to ensure that students understand the expectations. Additionally, in-class discussions are held to allow students to question and clarify any doubts regarding the marking criteria.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Focus on Active Learning and Enhancing student Engagement. </w:t>
      </w:r>
    </w:p>
    <w:p w:rsidRPr="2030048C" w:rsidP="2030048C">
      <w:pPr>
        <w:rPr>
          <w:rFonts w:ascii="Arial" w:eastAsia="Arial" w:hAnsi="Arial" w:cs="Arial"/>
          <w:sz w:val="24"/>
          <w:szCs w:val="24"/>
        </w:rPr>
      </w:pPr>
      <w:r w:rsidRPr="2030048C">
        <w:rPr>
          <w:rFonts w:ascii="Arial" w:eastAsia="Arial" w:hAnsi="Arial" w:cs="Arial"/>
          <w:sz w:val="24"/>
          <w:szCs w:val="24"/>
        </w:rPr>
        <w:t>The programme emphasises on active learning through collaborative, problem-solving and enquiry-based workshops, and tutorials. Engaging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summarising key concepts through short mini lectures.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Active and collaborative learning techniques are utilised in the lectures, which may include interactive presentation software, question-and-answer sessions and brief student discussions integrated into the lecture. By incorporating these methods, valuable contact time is spent on applying and critically analysing knowledge, while also developing key skills such as problem-solving, communication and teamwork. To further promote student engagement and sense of belonging, the programme offers various opportunities for students to interact with staff and peers, including through the personal tutorial scheme (PTS), field work, industrial visits, extra-curricular seminars, research internships, course representative system, student ambassador work, peer mentoring and outreach initiatives, as well as hands-on activities such as Formula Student, TT-Bike racing, Robotics Club and UK Talent. These efforts also support improved retention and progression among students and enhance student engagement, creativity, confidence, and self-reliance.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Development of Employability Skills </w:t>
      </w:r>
    </w:p>
    <w:p w:rsidRPr="2030048C" w:rsidP="2030048C">
      <w:pPr>
        <w:rPr>
          <w:rFonts w:ascii="Arial" w:eastAsia="Arial" w:hAnsi="Arial" w:cs="Arial"/>
          <w:sz w:val="24"/>
          <w:szCs w:val="24"/>
        </w:rPr>
      </w:pPr>
      <w:r w:rsidRPr="2030048C">
        <w:rPr>
          <w:rFonts w:ascii="Arial" w:eastAsia="Arial" w:hAnsi="Arial" w:cs="Arial"/>
          <w:sz w:val="24"/>
          <w:szCs w:val="24"/>
        </w:rPr>
        <w:t>The programme not only focuses on imparting theoretical knowledge but also aims to develop a wide range of essential employability skills. This is achieved by embedding future-oriented skills throughout the curriculum via a Research Techniques, Innovation &amp; Sustainability module. Through the programme, students are equipped with effective communication, problem-solving and creative thinking skills – qualities that employers seek in postgraduates. The integration of ‘Skills for Innovation’ across both business and higher education domains ensures that graduates have the skills, experience and opportunities required to excel in their chosen careers.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is designed with close consultation with the School’s Industrial Advisory Board, hence taking on board the latest requirements of industry for graduates. Employability skills are developed throughout the delivery of the modules, particularly as part of capstone dissertation. Furthermore, students are equipped with business, management, and entrepreneurial skills to enhance their employability potential globally. Delivery of many modules involves industrial speakers, who introduce students to latest industrial requirements.  </w:t>
      </w:r>
    </w:p>
    <w:p w:rsidRPr="2030048C" w:rsidP="2030048C">
      <w:pPr>
        <w:rPr>
          <w:rFonts w:ascii="Arial" w:eastAsia="Arial" w:hAnsi="Arial" w:cs="Arial"/>
          <w:sz w:val="24"/>
          <w:szCs w:val="24"/>
        </w:rPr>
      </w:pPr>
      <w:r w:rsidRPr="2030048C">
        <w:rPr>
          <w:rFonts w:ascii="Arial" w:eastAsia="Arial" w:hAnsi="Arial" w:cs="Arial"/>
          <w:sz w:val="24"/>
          <w:szCs w:val="24"/>
        </w:rPr>
        <w:t>Employability criteria identified using feedback from employers, alumni, Industrial Advisory Board, and the Institution of Mechanical Engineers (IMechE) are embedded in the curriculum. Each module is examined to determine opportunities to incorporate employability skills. The University’s academic and Careers and Employability Service teams identify appropriate provisions and tailor opportunities to bridge gaps.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IMechE Formula Student competition, on the other hand, serves as an integral component of the curriculum, equipping students with a well-rounded skill set that extends beyond academic learning and prepares them for the demands of the professional world. Students are required to design and manufacture a prototype of a single-seat race car. This demanding task enables students to refine their technical skills and deepen their understanding of engineering design and manufacturing processes. Moreover, the competition goes beyond developing technical expertise. It provides a platform for students to cultivate essential skills like teamwork, time management, project management, budgeting, and presentation. These competencies, highly sought-after by employers, can significantly enhance students’ employability prospects.  </w:t>
      </w:r>
    </w:p>
    <w:p w:rsidRPr="2030048C" w:rsidP="2030048C">
      <w:pPr>
        <w:rPr>
          <w:rFonts w:ascii="Arial" w:eastAsia="Arial" w:hAnsi="Arial" w:cs="Arial"/>
          <w:sz w:val="24"/>
          <w:szCs w:val="24"/>
        </w:rPr>
      </w:pPr>
      <w:r w:rsidRPr="2030048C">
        <w:rPr>
          <w:rFonts w:ascii="Arial" w:eastAsia="Arial" w:hAnsi="Arial" w:cs="Arial"/>
          <w:sz w:val="24"/>
          <w:szCs w:val="24"/>
        </w:rPr>
        <w:t>Throughout the course students have access to a dedicated employment coordinator; attend specially arranged employer seminars, university career workshops and research seminars, to prepare them for the world of work once graduated.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who successfully complete the MSc will have acquired a significant research background and analytical skills in the broader issues of design problem solving relating to Product Design Engineering and Manufacturing.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by companies such as (Thales, Eurostar, BAE, Precision Press Parts Corp, and various other Design Consultancy Companies). Other MSc postgraduates opt to study for a PhD research project.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breadth of knowledge and ability gained by the graduates will prepare them to take on the roles such as: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Project leaders and managers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Manufacturing Plant Engineer/Manager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Operation Managers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Engineering consultants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Quality Manager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Scholars in higher education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Research and development engineers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Opportunity to undertake further research for a PhD qualification.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level and content of courses are relevant and satisfy the Engineering Council's guidance and criteria (for further information see the Institute Institution of Mechanical Engineering and Engineering Council links part K).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A personal tutor (PT)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undergraduate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Personal tutors are allocated on a course basis during induction week. Student numbers are divided equally amongst the staff within the Department. Students will keep the same tutor throughout their course of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Additionally, Students are supported by a range of other course and/or university level systems, including: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Personal Tutor to provide academic advice and guidance.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dedicated Course Administrator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on use of IT and workshop/lab facilities.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dedicated employability consultant practitioner.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each new academic session.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Series of research seminars delivered by internal and external speakers informing students about latest advances in research.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Invited guest lecturers informing students about latest developments in technology and professional practise.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Virtual Learning Environment (VLE).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ECE Study Skills Centre (S3) that provides academic skills support.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KU student support facilities that provide advice on issues such as finance, regulations, legal matters, accommodation, etc.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KU Students’ Union.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KU Careers and Employability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Postgraduate Taught Experience Survey (PTES)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Industrial Advisory Board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body reaccreditation is required every four years.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Institution of Mechanical Engineers (IMechE), under licence from the UK regulator, the Engineering Council, as meeting the requirements for further learning for a Chartered Engineer (CEng) status for candidates who have already acquired an accredited CEng (Partial) BEng (Hons) degree. </w:t>
      </w:r>
    </w:p>
    <w:p w:rsidR="3D0EBCB8" w:rsidRPr="2030048C" w:rsidP="2030048C">
      <w:pPr>
        <w:rPr>
          <w:rFonts w:ascii="Arial" w:eastAsia="Arial" w:hAnsi="Arial" w:cs="Arial"/>
          <w:sz w:val="24"/>
          <w:szCs w:val="24"/>
        </w:rPr>
      </w:pPr>
      <w:r w:rsidRPr="2030048C">
        <w:rPr>
          <w:rFonts w:ascii="Arial" w:eastAsia="Arial" w:hAnsi="Arial" w:cs="Arial"/>
          <w:sz w:val="24"/>
          <w:szCs w:val="24"/>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832"/>
        <w:gridCol w:w="367"/>
        <w:gridCol w:w="954"/>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5B9D1C0-74BE-4C94-A82B-E95604F8E5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