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 and Computing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International Study Centre – (“KULISC”) – Study Group</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and Computing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UFSGF1SEC95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Life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International Study Centre – (“KULISC”) – Study Group</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IELTS for UKVI 4.5 overall (minimum 5.0 in writing and</w:t>
            </w:r>
            <w:r w:rsidRPr="2030048C">
              <w:rPr>
                <w:rStyle w:val="normaltextrun"/>
                <w:rFonts w:ascii="Arial" w:eastAsia="Arial" w:hAnsi="Arial" w:cs="Arial"/>
                <w:b w:val="0"/>
                <w:bCs w:val="0"/>
                <w:color w:val="000000"/>
                <w:sz w:val="24"/>
                <w:szCs w:val="24"/>
                <w:shd w:val="clear" w:color="auto" w:fill="FFFFFF"/>
              </w:rPr>
              <w:t xml:space="preserve"> no other skill less than 4.0)</w:t>
            </w:r>
            <w:r w:rsidRPr="2030048C">
              <w:rPr>
                <w:rStyle w:val="normaltextrun"/>
                <w:rFonts w:ascii="Arial" w:eastAsia="Arial" w:hAnsi="Arial" w:cs="Arial"/>
                <w:b w:val="0"/>
                <w:bCs w:val="0"/>
                <w:color w:val="000000"/>
                <w:sz w:val="24"/>
                <w:szCs w:val="24"/>
                <w:shd w:val="clear" w:color="auto" w:fill="FFFFFF"/>
              </w:rPr>
              <w:t>, or a higher entry requirement for progression to the MPharm in Pharmacy (5.5 in all skills)</w:t>
            </w:r>
            <w:r w:rsidRPr="2030048C">
              <w:rPr>
                <w:rStyle w:val="normaltextrun"/>
                <w:rFonts w:ascii="Arial" w:eastAsia="Arial" w:hAnsi="Arial" w:cs="Arial"/>
                <w:b w:val="0"/>
                <w:bCs w:val="0"/>
                <w:color w:val="000000"/>
                <w:sz w:val="24"/>
                <w:szCs w:val="24"/>
                <w:shd w:val="clear" w:color="auto" w:fill="FFFFFF"/>
              </w:rPr>
              <w:t>. </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 xml:space="preserve">are provided on a separate </w:t>
            </w:r>
            <w:r w:rsidRPr="2030048C">
              <w:rPr>
                <w:rStyle w:val="normaltextrun"/>
                <w:rFonts w:ascii="Arial" w:eastAsia="Arial" w:hAnsi="Arial" w:cs="Arial"/>
                <w:b w:val="0"/>
                <w:bCs w:val="0"/>
                <w:color w:val="000000"/>
                <w:sz w:val="24"/>
                <w:szCs w:val="24"/>
                <w:shd w:val="clear" w:color="auto" w:fill="FFFFFF"/>
              </w:rPr>
              <w:t>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Progression to MPharm Pharmacy degree is subject to a successful interview during the International Foundation Year.</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Progression to the Architecture degree is subject to a successful interview and design portfolio review with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w:t>
            </w:r>
            <w:r w:rsidRPr="158602C4">
              <w:rPr>
                <w:rStyle w:val="normaltextrun"/>
                <w:rFonts w:ascii="Arial" w:eastAsia="Arial" w:hAnsi="Arial" w:cs="Arial"/>
                <w:b w:val="0"/>
                <w:bCs w:val="0"/>
                <w:color w:val="000000" w:themeColor="text1" w:themeShade="FF" w:themeTint="FF"/>
                <w:sz w:val="24"/>
                <w:szCs w:val="24"/>
              </w:rPr>
              <w:t>submit new examination/coursework or carry over his/her existing marks. Students who improve their 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Educational aims of Programme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International Foundation Year Programme at Kingston University International Study Centre (KUISC) is designed to provide the opportunity for international students to develop the academic skills and values necessary to be successful in higher education within UK institutions. The aims of the programme are designed to include: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Introduce students to Higher Education teaching styles and provide them with opportunities to acquire relevant and appropriate knowledge for their chosen discipline through the teaching medium of English.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Encourage students develop skills in the collection, analysis, interpretation and understanding data and information, as well as academic English language, critical thinking, and reading and investigating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Support students in the acquisition of practical, employability, transferable and sustainability skills to be utilised in their future studies and career.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Promote the development of a range of communication and information technology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Ensure that students have been given a fair opportunity to achieve all stated learning outcomes.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inquisitive and independent learners with well-equipped written and other communication skills, and extend their planning, research, analysis, and presentation skills.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effective interpersonal and intrapersonal skills so that they contribute to their academic community and become life-learners.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Guided by the United Nation's Education for Sustainable Development (ESD) goals of 2030, to foster an understanding of sustainability and global citizenship, and to develop the skills and knowledge necessary for students to contribute positively to their communities and the wider world. This includes promoting an awareness of social responsibility and ethical behaviour, as well as encouraging students to critically evaluate the environmental impact of their actions and decisions. </w:t>
            </w:r>
          </w:p>
        </w:tc>
      </w:tr>
    </w:tbl>
    <w:p w:rsidR="00B400F2" w:rsidRPr="007C4290" w:rsidP="2030048C" w14:paraId="0A6BC257"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relevant information, arguments and theories related to area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Test and evaluate outcomes of a given problem  and review developed solution to the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communicate in written and oral formats to a  range of audience using a variety of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data, information and/or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risks, ethical dimensions and safety standards required in a science and engineering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Become self-aware of personal strength and weaknesses, take the responsibility to manage own learning  to enhance their independent learning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subject-specific knowledge to real-world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mathematical and computing methods and techniques to other field of science, correctly use the appropriate symbols and language, conventions to  make logical deductions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as a member of a team, respecting the viewpoints of others recognising other  factors that affect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fundamental terminology, concepts, and theories relevant to the field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and organise data/information, using  the information to analyse problems and develop solutions within a given set of requirements and specifications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think on professional, moral and ethical aspects of problems, designs and solutions, identify and reflect on risks or safety aspects in a given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The programme is made up of four core modules, each with a credit-value of 30 credits; a student must complete 120 credits from the programme to progress. Designated modules are determined by the designated route students are taking through the programme. All students will be provided with the relevant designated route, progression requirements and conditions, university academic regulations and any specific additions that are sometimes required for accreditation by outside bodies (e.g.,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and Computing</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Engineering and Computing</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Computer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Physics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Life Sciences</w:t>
      </w:r>
    </w:p>
    <w:p w:rsidR="008B5CAF" w:rsidRPr="008B5CAF" w:rsidP="008B5CAF" w14:textId="77777777">
      <w:pPr>
        <w:rPr>
          <w:rFonts w:eastAsia="Arial"/>
        </w:rPr>
      </w:pPr>
    </w:p>
    <w:p w:rsidR="035B6837" w:rsidP="2030048C"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E"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A"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Life Sciences</w:t>
            </w:r>
          </w:p>
        </w:tc>
      </w:tr>
      <w:tr w14:paraId="391AAB5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C"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D"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E"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F"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Mathematics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040"/>
        <w:gridCol w:w="367"/>
        <w:gridCol w:w="914"/>
        <w:gridCol w:w="914"/>
        <w:gridCol w:w="914"/>
        <w:gridCol w:w="914"/>
        <w:gridCol w:w="914"/>
        <w:gridCol w:w="9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49A8A52-1A3D-42CF-8352-5F2A8650E2E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