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05/06/2026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University (ESU),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International Business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International Business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International Business</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UFIBU1IBU21;UFIBJ1IBJ21;UFIBK1IBK21</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University (ESU),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Partner Institution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G.C.E. (A/L) – conducted by the Department of Examinations, Sri Lanka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G.C.E. (A/L) – conducted by Pearson Edexcel, UK (London A/L)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International (A/L) IGCSE’s – conducted by Pearson Edexcel, UK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G.C. E. (A/L) – conducted by Cambridge International Examinations, UK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ESOFT International Foundation Diploma.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overall IELTS score of 6.0 with a minimum of 5.5 each element or approved equivalent (</w:t>
            </w:r>
            <w:hyperlink r:id="rId9" w:tgtFrame="_blank" w:history="1">
              <w:r w:rsidRPr="2030048C">
                <w:rPr>
                  <w:rStyle w:val="normaltextrun"/>
                  <w:rFonts w:ascii="Arial" w:eastAsia="Arial" w:hAnsi="Arial" w:cs="Arial"/>
                  <w:b w:val="0"/>
                  <w:bCs w:val="0"/>
                  <w:color w:val="000000"/>
                  <w:sz w:val="24"/>
                  <w:szCs w:val="24"/>
                  <w:shd w:val="clear" w:color="auto" w:fill="FFFFFF"/>
                </w:rPr>
                <w:t>www.Kingston.ac.uk/English</w:t>
              </w:r>
            </w:hyperlink>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 elements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global business, enabling them to respond to dynamic international business environments.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for business and management roles in all types of global organisations and sectors, further study, and lifelong learning embedding professional practice and industry engagement.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Courses which include a ‘with professional placement’ pathway must include specific Programme Learning Outcomes (PLOs) that are assessed within the placement module:</w:t>
      </w:r>
    </w:p>
    <w:p w:rsidRPr="2030048C" w:rsidP="2030048C">
      <w:pPr>
        <w:numPr>
          <w:ilvl w:val="0"/>
          <w:numId w:val="17"/>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should explicitly reflect the knowledge, skills and professional competencies expected to be developed during the placement experience</w:t>
      </w:r>
    </w:p>
    <w:p w:rsidRPr="2030048C" w:rsidP="2030048C">
      <w:pPr>
        <w:numPr>
          <w:ilvl w:val="0"/>
          <w:numId w:val="17"/>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are exempt from the general requirement that all PLOs must be assessed in at least two modules</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global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areas of business and their interrelationships within an international and cross-cultural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create sustainable value in global business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evaluate international business opportunities to create sustainable value and drive innovation across global markets.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global business functions and external environmental factors interrelate and influence organisational performance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and evaluate business information and other relevant sources to draw informed conclusions and make sound decisions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and cross-cultural environments, demonstrating a questioning mindset, empathy, adaptability, and collaboration.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global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global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 </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Organisations &amp; People </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BS5014 Global Innovation, Sustainability and Responsibility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Students can progress from one level to the next with 30 credits trailing but they must pass the failed credits before progressing to the next leve</w:t>
      </w:r>
      <w:r w:rsidRPr="2030048C">
        <w:rPr>
          <w:rFonts w:ascii="Arial" w:eastAsia="Arial" w:hAnsi="Arial" w:cs="Arial"/>
          <w:color w:val="000000" w:themeColor="text1" w:themeShade="FF" w:themeTint="FF"/>
          <w:sz w:val="24"/>
          <w:szCs w:val="24"/>
        </w:rPr>
        <w:t>l.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Global Innovation, Sustainability and Responsibility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Across Cultures and Borders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International Business.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ESU</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 BSc International Business.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ESOFT may offer students additional optional opportunities for learning.  Examples of these include industry visits and guest speakers.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17"/>
          <w:szCs w:val="17"/>
        </w:rPr>
        <w:t>Students are supported through a range of services that provide academic and wider support. These include: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A Module Leader for each module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A Course Leader to help students understand the course structure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Personal Tutors to provide academic and personal support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Technical support to advise students on IT and the use of software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Student Voice Committee – to ensure the views of students are heard</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Canvas – Kingston University’s Virtual Learning Environment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Student support facilities that can provide advice on issues such as finance, regulations, legal matters, accommodation, international student support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Disabled student support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The Kingston Students’ Union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17"/>
          <w:szCs w:val="17"/>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The University’s advice and support services are offered via a blended approach, meaning that students can choose whether to attend appointments in-person or online.</w:t>
      </w:r>
    </w:p>
    <w:p w:rsidRPr="2030048C" w:rsidP="2030048C">
      <w:pPr>
        <w:rPr>
          <w:rFonts w:ascii="Arial" w:eastAsia="Arial" w:hAnsi="Arial" w:cs="Arial"/>
          <w:sz w:val="24"/>
          <w:szCs w:val="24"/>
        </w:rPr>
      </w:pPr>
      <w:r w:rsidRPr="2030048C">
        <w:rPr>
          <w:rFonts w:ascii="Arial" w:eastAsia="Arial" w:hAnsi="Arial" w:cs="Arial"/>
          <w:sz w:val="24"/>
          <w:szCs w:val="24"/>
        </w:rPr>
        <w:t>Student Development and Graduate Success support is also offered via a blended approach, and digital resources are available to students 24/7. It should, however, be noted that advice and guidance is predominantly focused on the UK employment market.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17"/>
          <w:szCs w:val="17"/>
        </w:rPr>
        <w:t>The University has policies and procedures for evaluating and improving the quality and standards of its provision. These include:</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17"/>
          <w:szCs w:val="17"/>
        </w:rPr>
        <w:t>Continuous Monitoring of courses through the Kingston Course Enhancement Programme (KCEP)</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17"/>
          <w:szCs w:val="17"/>
        </w:rPr>
        <w:t>Student evaluation including Module Evaluation Questionnaires (MEQs), the National Student Survey (NSS)</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17"/>
          <w:szCs w:val="17"/>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University’s advice and support services are offered via a blended approach, meaning that students can choose whether to attend appointments in-person or online.</w:t>
      </w:r>
    </w:p>
    <w:p w:rsidR="3D0EBCB8" w:rsidRPr="2030048C" w:rsidP="2030048C">
      <w:pPr>
        <w:rPr>
          <w:rFonts w:ascii="Arial" w:eastAsia="Arial" w:hAnsi="Arial" w:cs="Arial"/>
          <w:sz w:val="24"/>
          <w:szCs w:val="24"/>
        </w:rPr>
      </w:pPr>
      <w:r w:rsidRPr="2030048C">
        <w:rPr>
          <w:rFonts w:ascii="Arial" w:eastAsia="Arial" w:hAnsi="Arial" w:cs="Arial"/>
          <w:sz w:val="24"/>
          <w:szCs w:val="24"/>
        </w:rPr>
        <w:t>Student Development and Graduate Success support is also offered via a blended approach, and digital resources are available to students 24/7. However, advice and guidance is predominantly focused on the UK employment market.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7"/>
        <w:gridCol w:w="232"/>
        <w:gridCol w:w="594"/>
        <w:gridCol w:w="594"/>
        <w:gridCol w:w="594"/>
        <w:gridCol w:w="611"/>
        <w:gridCol w:w="611"/>
        <w:gridCol w:w="594"/>
        <w:gridCol w:w="594"/>
        <w:gridCol w:w="611"/>
        <w:gridCol w:w="585"/>
        <w:gridCol w:w="527"/>
        <w:gridCol w:w="585"/>
        <w:gridCol w:w="585"/>
        <w:gridCol w:w="58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are in September and February.</w:t>
      </w:r>
    </w:p>
    <w:p w:rsidRPr="2030048C" w:rsidP="2030048C">
      <w:pPr>
        <w:rPr>
          <w:rFonts w:ascii="Arial" w:eastAsia="Arial" w:hAnsi="Arial" w:cs="Arial"/>
          <w:sz w:val="24"/>
          <w:szCs w:val="24"/>
        </w:rPr>
      </w:pPr>
      <w:r w:rsidRPr="2030048C">
        <w:rPr>
          <w:rFonts w:ascii="Arial" w:eastAsia="Arial" w:hAnsi="Arial" w:cs="Arial"/>
          <w:sz w:val="24"/>
          <w:szCs w:val="24"/>
        </w:rPr>
        <w:t>For the February Intake:</w:t>
      </w:r>
    </w:p>
    <w:p w:rsidRPr="2030048C" w:rsidP="2030048C">
      <w:pPr>
        <w:rPr>
          <w:rFonts w:ascii="Arial" w:eastAsia="Arial" w:hAnsi="Arial" w:cs="Arial"/>
          <w:sz w:val="24"/>
          <w:szCs w:val="24"/>
        </w:rPr>
      </w:pPr>
      <w:r w:rsidRPr="2030048C">
        <w:rPr>
          <w:rFonts w:ascii="Arial" w:eastAsia="Arial" w:hAnsi="Arial" w:cs="Arial"/>
          <w:sz w:val="24"/>
          <w:szCs w:val="24"/>
        </w:rPr>
        <w:t>All modules are ACYR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www.kingston.ac.uk/English"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25B5B03-F48E-4B12-B339-1DF65204D22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