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Entrepreneurship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23/06/2026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University (ESU),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Entrepreneurship</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Management and Entrepreneurship</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Management and Entrepreneurship</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UFBEU1BEU21; UFBEJ1BEJ21; UFBEK1BEK21</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University (ESU),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Colombo, Kandy and Jaffna campuses, Sri Lanka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the Department of Examinations, Sri Lanka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Pearson Edexcel, UK (London A/L)  </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(A/L) IGCSE’s – conducted by Pearson Edexcel, UK  </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 E. (A/L) – conducted by Cambridge International Examinations, UK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  </w:t>
            </w:r>
          </w:p>
          <w:p w:rsidRPr="2030048C" w:rsidP="2030048C">
            <w:pPr>
              <w:numPr>
                <w:ilvl w:val="0"/>
                <w:numId w:val="16"/>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International Foundation Diploma.  </w:t>
            </w:r>
          </w:p>
          <w:p w:rsidRPr="2030048C" w:rsidP="2030048C">
            <w:pPr>
              <w:numPr>
                <w:ilvl w:val="0"/>
                <w:numId w:val="17"/>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overall IELTS score of 6.0 with a minimum of 5.5 each element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entrepreneurship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 </w:t>
      </w:r>
    </w:p>
    <w:p w:rsidRPr="2030048C" w:rsidP="2030048C">
      <w:pPr>
        <w:pStyle w:val="ListParagraph"/>
        <w:numPr>
          <w:ilvl w:val="0"/>
          <w:numId w:val="2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in business and management roles in all types of entrepreneurial environments, including their own business, further study, and lifelong learning embedding professional practice and industry engagement.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entrepreneurial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 and their interrelationships in the context of entrepreneurial enterprises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identify opportunities and create value in entrepreneurial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evaluate business opportunities to drive sustainable innovation and promote responsible consumption in entrepreneurial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 in SMEs and other entrepreneurial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that support entrepreneurial decision-making.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Entrepreneurship programme is structured around a core spine of business management modules that span all three levels, ensuring students develop a strong foundation in key business principles. This spine is complemented by specialist modules in Entrepreneurship which become more prominent at Levels 5 and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 </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w:t>
      </w:r>
    </w:p>
    <w:p w:rsidRPr="2030048C" w:rsidP="2030048C">
      <w:pPr>
        <w:numPr>
          <w:ilvl w:val="0"/>
          <w:numId w:val="2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BS5205 </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Entrepreneurship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Start Up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Fundraising and Pitching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ESU</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ENTREPRENEURSHIP IN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17"/>
          <w:szCs w:val="17"/>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17"/>
          <w:szCs w:val="17"/>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Laboratory Sessions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Lectures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Seminars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Tutorials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Workshops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Placements</w:t>
      </w:r>
    </w:p>
    <w:p w:rsidRPr="2030048C" w:rsidP="2030048C">
      <w:pPr>
        <w:rPr>
          <w:rFonts w:ascii="Arial" w:eastAsia="Arial" w:hAnsi="Arial" w:cs="Arial"/>
          <w:sz w:val="24"/>
          <w:szCs w:val="24"/>
        </w:rPr>
      </w:pPr>
      <w:r w:rsidRPr="2030048C">
        <w:rPr>
          <w:rFonts w:ascii="Arial" w:eastAsia="Arial" w:hAnsi="Arial" w:cs="Arial"/>
          <w:sz w:val="17"/>
          <w:szCs w:val="17"/>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17"/>
          <w:szCs w:val="17"/>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17"/>
          <w:szCs w:val="17"/>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ESOFT Student Council (ESC)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17"/>
          <w:szCs w:val="17"/>
        </w:rPr>
        <w:t>The University has policies and procedures for evaluating and improving the quality and standards of its provision. These include:</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17"/>
          <w:szCs w:val="17"/>
        </w:rPr>
        <w:t>Continuous Monitoring of courses through the Kingston Course Enhancement Programme (KCEP)</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17"/>
          <w:szCs w:val="17"/>
        </w:rPr>
        <w:t>Student evaluation including Module Evaluation Questionnaires (MEQs), the National Student Survey (NSS)</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17"/>
          <w:szCs w:val="17"/>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17"/>
          <w:szCs w:val="17"/>
        </w:rPr>
        <w:t>QAA Subject benchmarks </w:t>
      </w:r>
      <w:r w:rsidRPr="2030048C">
        <w:rPr>
          <w:rFonts w:ascii="Arial" w:eastAsia="Arial" w:hAnsi="Arial" w:cs="Arial"/>
          <w:sz w:val="24"/>
          <w:szCs w:val="24"/>
        </w:rPr>
        <w:t>(Business &amp; Management)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4"/>
        <w:gridCol w:w="233"/>
        <w:gridCol w:w="1"/>
        <w:gridCol w:w="597"/>
        <w:gridCol w:w="1"/>
        <w:gridCol w:w="597"/>
        <w:gridCol w:w="1"/>
        <w:gridCol w:w="597"/>
        <w:gridCol w:w="1"/>
        <w:gridCol w:w="614"/>
        <w:gridCol w:w="1"/>
        <w:gridCol w:w="588"/>
        <w:gridCol w:w="1"/>
        <w:gridCol w:w="597"/>
        <w:gridCol w:w="1"/>
        <w:gridCol w:w="588"/>
        <w:gridCol w:w="1"/>
        <w:gridCol w:w="588"/>
        <w:gridCol w:w="1"/>
        <w:gridCol w:w="1"/>
        <w:gridCol w:w="587"/>
        <w:gridCol w:w="1"/>
        <w:gridCol w:w="588"/>
        <w:gridCol w:w="1"/>
        <w:gridCol w:w="588"/>
        <w:gridCol w:w="1"/>
        <w:gridCol w:w="588"/>
        <w:gridCol w:w="1"/>
        <w:gridCol w:w="53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BS5407</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BS6804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and February Intakes</w:t>
      </w:r>
    </w:p>
    <w:p w:rsidRPr="2030048C" w:rsidP="2030048C">
      <w:pPr>
        <w:rPr>
          <w:rFonts w:ascii="Arial" w:eastAsia="Arial" w:hAnsi="Arial" w:cs="Arial"/>
          <w:sz w:val="24"/>
          <w:szCs w:val="24"/>
        </w:rPr>
      </w:pPr>
      <w:r w:rsidRPr="2030048C">
        <w:rPr>
          <w:rFonts w:ascii="Arial" w:eastAsia="Arial" w:hAnsi="Arial" w:cs="Arial"/>
          <w:sz w:val="24"/>
          <w:szCs w:val="24"/>
        </w:rPr>
        <w:t>All modules for the February intake are ACYR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multilevel"/>
    <w:tmpl w:val="74989B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76C2DA0-F5D6-4AA0-B8D4-0F388F2F7E2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