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09/11/2023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GISMA University of Applied Sciences GmbH, Germany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International Business Management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Postgraduate Certificate International Business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PFIMG1BER21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GISMA University of Applied Sciences GmbH, Germany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GISMA University of Applied Sciences GmbH, Germany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Kingston Business School holds an international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accreditation by the AACSB (Association to Advance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Collegiate Schools of Business) and this programme is accredited by the Association of MBAs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(AMBA)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This programme is approved to use 15-credit modules.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tc>
            </w:tr>
          </w:tbl>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this programme are to provide students with the opportunity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follow a broad-based internationally focused business management Masters programme that will provide a bridge or conversion for non-business/management undergraduate degrees or top-up with some specialisation for those who have a relevant undergraduate programme.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practical management skills appropriate for employability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academic critical skills of reflection, analysis, and evaluation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consultation and project management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means of reflection in preparation for assuming management roles within organisations.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get a head start on the employment ladder, preparing them for employment, further study and lifelong learning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Critically evaluate different perspectives in management and business, and the value of each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standpoint</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in a critically reflective and creative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research and consultancy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Articulate relevance and importance of international business knowledge to the business communities of a modern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Organise and analyse and solve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Assemble and analyse qualitative and quantitative data (as appropriate) from a wide variety of sources using different techniques and tools.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Describe and explain the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international, multi-cultural and globally pervasive nature of business in society</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communicate ideas using ICT software tools to an audience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Explain the theoretical bases of the range of business disciplines which will enable them to contribute to developments in these fields, to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evaluate these developments critically, and to apply this knowledge to inform their practice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Operate as flexible and skilled business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tbl>
      <w:tblPr>
        <w:tblStyle w:val="Table"/>
        <w:tblCellSpacing w:w="15" w:type="dxa"/>
        <w:tblCellMar>
          <w:top w:w="15" w:type="dxa"/>
          <w:left w:w="15" w:type="dxa"/>
          <w:bottom w:w="15" w:type="dxa"/>
          <w:right w:w="15" w:type="dxa"/>
        </w:tblCellMar>
        <w:tblLook w:val="05E0"/>
      </w:tblPr>
      <w:tblGrid>
        <w:gridCol w:w="107"/>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r>
    </w:tbl>
    <w:p w:rsidR="035B6837" w:rsidP="2030048C" w14:paraId="4EB69E2E"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Building Successful Organisations and Careers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Consultancy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BS7032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GISMA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RPL</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International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Managing in Rapidly Changing Business Environments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Managing Operations and Financial Resources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MIBM Gisma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RPL</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Credit from modules offered by GISMA in Teaching Blocks 3 and 4 of years 1 and 2 will replace the optional modules.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Students exiting the programme with 60 level 7 credits are eligible for the award of PgCert in International Business Management.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Students exiting the programme with 120 level 7 credits are eligible for the award of PgDip in in International Business Management.</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color w:val="000000"/>
          <w:sz w:val="24"/>
          <w:szCs w:val="24"/>
        </w:rPr>
        <w:t>The teaching and learning philosophy of the programme is to engage students actively and to enable students to develop their ability to study independently and work as part of a team at Masters level. This is achieved by encouraging them to question and critically assess business issues, to find innovative options and solutions. Successful managers combine these skills with comprehensive business knowledge to achieve their objectives. Students will build their understanding across a broad range of modules, with a core legal element built in through the International Business Environment and Trade module. Regular guest speakers add to the expertise of the lecturing staff and provide their own perspectives on current events. The range of teaching strategies will include lectures, workshops, seminars, presentations, action learning sets, and individual personal supervision.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From an academic perspective, assessment is planned to reflect the aims and to achieve the learning outcomes of the programme. It is designed to monitor student performance regularly in the context of specific requirements of individual subjects, the personal and group management skills required in business, the theoretical background and applied skills necessary for effective use of business tools and ultimately the knowledge and skills essential to meet the overall requirements of a Masters degree.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 xml:space="preserve">Our assessment methods mirror the realities of business. Time-constrained coursework, for example, simulates work situations where managers have only a few days to prepare a report with strategic options. Each method of assessment is designed to draw out a student’s inquisitive, questioning and critical thinking ability, so that students enter the executive job marketplace with a strong management skillset. The overall assessment arrangements for this programme are based on an appropriate mix of assessment approaches. The rationale for time-limited and continuous assessment is to additionally support a student-centred learning approach, in which the student's ability to write (in such formats as essays, reports, industry briefing papers and reflective statements) and to offer evidence of in-depth research and analysis, will be assessed.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To enhance students’ employability, they also have the opportunity to attend a range of university- and school-facilitated career events during the course of their study.</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At Kingston University, we're passionate about enhancing our students' life chances by helping them make the most of their learning opportunities and equipping them with the future skills and knowledge needed in the 21st Century's demanding workplace, so when you choose to study an undergraduate course at Kingston, you know that you will gain more than a degree. The development of Future Skills is ingrained throughout every year of every course, ensuring you learn employability enhancing skills with your subject. At GISMA, SkillsSprintWeek embeds the development of Future Skills in every module, every term, every year. Adaptability, collaboration, creative problem solving, digital competency, empathy, enterprising, questioning mindset, resilience and self-awareness are among the skills which you will be asked to prepare for, practice, be assessed and reflect on every term, alongside learning objectives relevant to each module you are taught. In every run, you will develop your expertise, personalise your learning and demonstrate the skills you've gained.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color w:val="000000"/>
          <w:sz w:val="24"/>
          <w:szCs w:val="24"/>
        </w:rPr>
        <w:t>Students are supported by:</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A Personal Tutor. Each student will have their own personal tutor who will normally stay with them throughout their course. The tutor will instigate regular meetings throughout the student’s time at university, providing support, guidance and encouragement to their tutees throughout the programme. Topics such as academic performance, future career aims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A Course Director. The Course Director helps students to understand the programme structure, the academic regulations and what is required at the various levels of study.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A Student Administrative Support team. The student support team helps with general administrative aspects such as timetables issues and providing letters.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An Academic Learning Centre. The ALC can provide advice and guidance on academic matters and hold one-to-one or group sessions to support students in enhancing their study skills.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The </w:t>
      </w:r>
      <w:hyperlink r:id="rId11" w:history="1">
        <w:r w:rsidRPr="2030048C">
          <w:rPr>
            <w:rFonts w:ascii="Arial" w:eastAsia="Arial" w:hAnsi="Arial" w:cs="Arial"/>
            <w:color w:val="000000"/>
            <w:sz w:val="24"/>
            <w:szCs w:val="24"/>
          </w:rPr>
          <w:t>Careers Centre</w:t>
        </w:r>
      </w:hyperlink>
      <w:r w:rsidRPr="2030048C">
        <w:rPr>
          <w:rFonts w:ascii="Arial" w:eastAsia="Arial" w:hAnsi="Arial" w:cs="Arial"/>
          <w:color w:val="000000"/>
          <w:sz w:val="24"/>
          <w:szCs w:val="24"/>
        </w:rPr>
        <w:t xml:space="preserve"> provides valuable guidance which develop students’ professional skills, supporting them with internships and/or placements and organising careers events.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Student mentors. Mentors are students who have previously studied the modules and provide support and mentoring to newer students.</w:t>
      </w:r>
    </w:p>
    <w:p w:rsidRPr="2030048C" w:rsidP="2030048C">
      <w:pPr>
        <w:numPr>
          <w:ilvl w:val="0"/>
          <w:numId w:val="15"/>
        </w:numPr>
        <w:ind w:left="720" w:hanging="360"/>
        <w:jc w:val="both"/>
        <w:rPr>
          <w:rFonts w:ascii="Arial" w:eastAsia="Arial" w:hAnsi="Arial" w:cs="Arial"/>
          <w:sz w:val="24"/>
          <w:szCs w:val="24"/>
        </w:rPr>
      </w:pPr>
      <w:hyperlink r:id="rId12" w:history="1">
        <w:r w:rsidRPr="2030048C">
          <w:rPr>
            <w:rFonts w:ascii="Arial" w:eastAsia="Arial" w:hAnsi="Arial" w:cs="Arial"/>
            <w:color w:val="000000"/>
            <w:sz w:val="24"/>
            <w:szCs w:val="24"/>
          </w:rPr>
          <w:t>Technical support with IT</w:t>
        </w:r>
      </w:hyperlink>
      <w:r w:rsidRPr="2030048C">
        <w:rPr>
          <w:rFonts w:ascii="Arial" w:eastAsia="Arial" w:hAnsi="Arial" w:cs="Arial"/>
          <w:color w:val="000000"/>
          <w:sz w:val="24"/>
          <w:szCs w:val="24"/>
        </w:rPr>
        <w:t xml:space="preserve"> and the use of software.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An induction period at the start of the programme to introduce students to the university, university life, what is expected of them, the degree programme and each other.</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Ongoing re-induction sessions at appropriate points in the course.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Access to </w:t>
      </w:r>
      <w:hyperlink r:id="rId13" w:history="1">
        <w:r w:rsidRPr="2030048C">
          <w:rPr>
            <w:rFonts w:ascii="Arial" w:eastAsia="Arial" w:hAnsi="Arial" w:cs="Arial"/>
            <w:color w:val="000000"/>
            <w:sz w:val="24"/>
            <w:szCs w:val="24"/>
          </w:rPr>
          <w:t>English language support</w:t>
        </w:r>
      </w:hyperlink>
      <w:r w:rsidRPr="2030048C">
        <w:rPr>
          <w:rFonts w:ascii="Arial" w:eastAsia="Arial" w:hAnsi="Arial" w:cs="Arial"/>
          <w:color w:val="000000"/>
          <w:sz w:val="24"/>
          <w:szCs w:val="24"/>
        </w:rPr>
        <w:t xml:space="preserve">, which is particularly useful for international students who do not have English as their first language, and to foreign language tuition via the </w:t>
      </w:r>
      <w:hyperlink r:id="rId14" w:history="1">
        <w:r w:rsidRPr="2030048C">
          <w:rPr>
            <w:rFonts w:ascii="Arial" w:eastAsia="Arial" w:hAnsi="Arial" w:cs="Arial"/>
            <w:color w:val="000000"/>
            <w:sz w:val="24"/>
            <w:szCs w:val="24"/>
          </w:rPr>
          <w:t>GISMA</w:t>
        </w:r>
      </w:hyperlink>
      <w:r w:rsidRPr="2030048C">
        <w:rPr>
          <w:rStyle w:val="MsoHyperlink"/>
          <w:rFonts w:ascii="Arial" w:eastAsia="Arial" w:hAnsi="Arial" w:cs="Arial"/>
          <w:color w:val="000000"/>
          <w:sz w:val="24"/>
          <w:szCs w:val="24"/>
          <w:u w:val="single" w:color="000000"/>
        </w:rPr>
        <w:t xml:space="preserve"> Language School.</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Staff Student Liaison Committee and course representatives to enable students to feed back to staff about the programme.</w:t>
      </w:r>
    </w:p>
    <w:p w:rsidRPr="2030048C" w:rsidP="2030048C">
      <w:pPr>
        <w:numPr>
          <w:ilvl w:val="0"/>
          <w:numId w:val="15"/>
        </w:numPr>
        <w:ind w:left="720" w:hanging="360"/>
        <w:jc w:val="both"/>
        <w:rPr>
          <w:rFonts w:ascii="Arial" w:eastAsia="Arial" w:hAnsi="Arial" w:cs="Arial"/>
          <w:sz w:val="24"/>
          <w:szCs w:val="24"/>
        </w:rPr>
      </w:pPr>
      <w:hyperlink r:id="rId15" w:history="1">
        <w:r w:rsidRPr="2030048C">
          <w:rPr>
            <w:rFonts w:ascii="Arial" w:eastAsia="Arial" w:hAnsi="Arial" w:cs="Arial"/>
            <w:color w:val="000000"/>
            <w:sz w:val="24"/>
            <w:szCs w:val="24"/>
          </w:rPr>
          <w:t>Canvas</w:t>
        </w:r>
      </w:hyperlink>
      <w:r w:rsidRPr="2030048C">
        <w:rPr>
          <w:rFonts w:ascii="Arial" w:eastAsia="Arial" w:hAnsi="Arial" w:cs="Arial"/>
          <w:color w:val="000000"/>
          <w:sz w:val="24"/>
          <w:szCs w:val="24"/>
        </w:rPr>
        <w:t xml:space="preserve"> – a versatile on-line interactive intranet and learning environment.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Student support facilities that provide advice on issues including </w:t>
      </w:r>
      <w:hyperlink r:id="rId16" w:history="1">
        <w:r w:rsidRPr="2030048C">
          <w:rPr>
            <w:rFonts w:ascii="Arial" w:eastAsia="Arial" w:hAnsi="Arial" w:cs="Arial"/>
            <w:color w:val="000000"/>
            <w:sz w:val="24"/>
            <w:szCs w:val="24"/>
          </w:rPr>
          <w:t>finance</w:t>
        </w:r>
      </w:hyperlink>
      <w:r w:rsidRPr="2030048C">
        <w:rPr>
          <w:rFonts w:ascii="Arial" w:eastAsia="Arial" w:hAnsi="Arial" w:cs="Arial"/>
          <w:color w:val="000000"/>
          <w:sz w:val="24"/>
          <w:szCs w:val="24"/>
        </w:rPr>
        <w:t xml:space="preserve">, </w:t>
      </w:r>
      <w:hyperlink r:id="rId17" w:anchor="ar" w:history="1">
        <w:r w:rsidRPr="2030048C">
          <w:rPr>
            <w:rFonts w:ascii="Arial" w:eastAsia="Arial" w:hAnsi="Arial" w:cs="Arial"/>
            <w:color w:val="000000"/>
            <w:sz w:val="24"/>
            <w:szCs w:val="24"/>
          </w:rPr>
          <w:t>regulations</w:t>
        </w:r>
      </w:hyperlink>
      <w:r w:rsidRPr="2030048C">
        <w:rPr>
          <w:rFonts w:ascii="Arial" w:eastAsia="Arial" w:hAnsi="Arial" w:cs="Arial"/>
          <w:color w:val="000000"/>
          <w:sz w:val="24"/>
          <w:szCs w:val="24"/>
        </w:rPr>
        <w:t xml:space="preserve">, </w:t>
      </w:r>
      <w:hyperlink r:id="rId18" w:history="1">
        <w:r w:rsidRPr="2030048C">
          <w:rPr>
            <w:rFonts w:ascii="Arial" w:eastAsia="Arial" w:hAnsi="Arial" w:cs="Arial"/>
            <w:color w:val="000000"/>
            <w:sz w:val="24"/>
            <w:szCs w:val="24"/>
          </w:rPr>
          <w:t>accommodation</w:t>
        </w:r>
      </w:hyperlink>
      <w:r w:rsidRPr="2030048C">
        <w:rPr>
          <w:rFonts w:ascii="Arial" w:eastAsia="Arial" w:hAnsi="Arial" w:cs="Arial"/>
          <w:color w:val="000000"/>
          <w:sz w:val="24"/>
          <w:szCs w:val="24"/>
        </w:rPr>
        <w:t xml:space="preserve"> and </w:t>
      </w:r>
      <w:hyperlink r:id="rId19" w:history="1">
        <w:r w:rsidRPr="2030048C">
          <w:rPr>
            <w:rFonts w:ascii="Arial" w:eastAsia="Arial" w:hAnsi="Arial" w:cs="Arial"/>
            <w:color w:val="000000"/>
            <w:sz w:val="24"/>
            <w:szCs w:val="24"/>
          </w:rPr>
          <w:t>international student support</w:t>
        </w:r>
      </w:hyperlink>
      <w:r w:rsidRPr="2030048C">
        <w:rPr>
          <w:rFonts w:ascii="Arial" w:eastAsia="Arial" w:hAnsi="Arial" w:cs="Arial"/>
          <w:color w:val="000000"/>
          <w:sz w:val="24"/>
          <w:szCs w:val="24"/>
        </w:rPr>
        <w: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International students also have the additional benefit of the University’s International Office which supports students for and welcomes students to, Germany and provides support throughout the student’s time at University.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4"/>
          <w:szCs w:val="24"/>
        </w:rPr>
        <w:t>The University has several methods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Boards of study with student representation</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Annual Monitoring and Enhancement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Student evaluation including Module Evaluation Questionnaires (MEQs), level surveys and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Moderation policies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Feedback from employers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The European Foundation for Management Development (EFMD) awarded EPAS accreditation to the course.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The Association of MBAs (AMBA) has accredited the programme as a Pre</w:t>
      </w:r>
      <w:r w:rsidRPr="2030048C">
        <w:rPr>
          <w:rFonts w:ascii="Arial" w:eastAsia="Arial" w:hAnsi="Arial" w:cs="Arial"/>
          <w:color w:val="000000"/>
          <w:sz w:val="24"/>
          <w:szCs w:val="24"/>
        </w:rPr>
        <w:noBreakHyphen/>
        <w:t xml:space="preserve">Experience Masters in Business Management (MBM).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992"/>
        <w:gridCol w:w="367"/>
        <w:gridCol w:w="941"/>
        <w:gridCol w:w="927"/>
        <w:gridCol w:w="927"/>
        <w:gridCol w:w="927"/>
        <w:gridCol w:w="941"/>
        <w:gridCol w:w="927"/>
        <w:gridCol w:w="92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table" w:customStyle="1" w:styleId="Table">
    <w:name w:val="Table"/>
    <w:basedOn w:val="TableNormal"/>
    <w:tblPr/>
  </w:style>
  <w:style w:type="character" w:customStyle="1" w:styleId="MsoHyperlink">
    <w:name w:val="MsoHyper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ngstonuniversity.sharepoint.com/sites/mykingston/mysupport/ELD/Pages/default.aspx" TargetMode="External"/><Relationship Id="rId18" Type="http://schemas.openxmlformats.org/officeDocument/2006/relationships/hyperlink" Target="https://kingstonuniversity.sharepoint.com/sites/mykingston/mysupport/myaccommodation/Pages/default.aspx" TargetMode="External"/><Relationship Id="rId8" Type="http://schemas.openxmlformats.org/officeDocument/2006/relationships/image" Target="media/image1.png"/><Relationship Id="rId21" Type="http://schemas.openxmlformats.org/officeDocument/2006/relationships/numbering" Target="numbering.xml"/><Relationship Id="rId3" Type="http://schemas.openxmlformats.org/officeDocument/2006/relationships/fontTable" Target="fontTable.xml"/><Relationship Id="rId12" Type="http://schemas.openxmlformats.org/officeDocument/2006/relationships/hyperlink" Target="https://www.kingston.ac.uk/information-and-technology-services/service-desk-portal/" TargetMode="External"/><Relationship Id="rId17" Type="http://schemas.openxmlformats.org/officeDocument/2006/relationships/hyperlink" Target="https://www.kingston.ac.uk/aboutkingstonuniversity/howtheuniversityworks/policiesandregulations/" TargetMode="External"/><Relationship Id="rId7" Type="http://schemas.openxmlformats.org/officeDocument/2006/relationships/customXml" Target="../customXml/item4.xml"/><Relationship Id="rId16" Type="http://schemas.openxmlformats.org/officeDocument/2006/relationships/hyperlink" Target="https://kingstonuniversity.sharepoint.com/sites/mykingston/mysupport/money/Pages/default.aspx" TargetMode="External"/><Relationship Id="rId2" Type="http://schemas.openxmlformats.org/officeDocument/2006/relationships/webSettings" Target="webSettings.xml"/><Relationship Id="rId20" Type="http://schemas.openxmlformats.org/officeDocument/2006/relationships/theme" Target="theme/theme1.xml"/><Relationship Id="rId1" Type="http://schemas.openxmlformats.org/officeDocument/2006/relationships/settings" Target="settings.xml"/><Relationship Id="rId11" Type="http://schemas.openxmlformats.org/officeDocument/2006/relationships/hyperlink" Target="http://jobscentral.kingston.ac.uk/" TargetMode="External"/><Relationship Id="rId6" Type="http://schemas.openxmlformats.org/officeDocument/2006/relationships/customXml" Target="../customXml/item3.xml"/><Relationship Id="rId15" Type="http://schemas.openxmlformats.org/officeDocument/2006/relationships/hyperlink" Target="http://canvas.kingston.ac.uk/" TargetMode="External"/><Relationship Id="rId10" Type="http://schemas.openxmlformats.org/officeDocument/2006/relationships/footer" Target="footer1.xml"/><Relationship Id="rId19" Type="http://schemas.openxmlformats.org/officeDocument/2006/relationships/hyperlink" Target="https://kingstonuniversity.sharepoint.com/sites/mykingston/mysupport/international/Pages/default.aspx" TargetMode="External"/><Relationship Id="rId14" Type="http://schemas.openxmlformats.org/officeDocument/2006/relationships/hyperlink" Target="https://www.kingston.ac.uk/kingston-language-scheme/" TargetMode="External"/><Relationship Id="rId22"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CF56E4A-1354-4214-887F-CC4B58FAD9A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