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Investment and Financial Risk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Investment and Financial Risk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Investment and Financial Risk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Investment and Financial Risk Management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PFIFR1IFR01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200" w:afterAutospacing="0" w:line="276"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w:t>
            </w:r>
            <w:r w:rsidRPr="158602C4">
              <w:rPr>
                <w:rStyle w:val="normaltextrun"/>
                <w:rFonts w:ascii="Arial" w:eastAsia="Arial" w:hAnsi="Arial" w:cs="Arial"/>
                <w:b w:val="0"/>
                <w:bCs w:val="0"/>
                <w:color w:val="000000" w:themeColor="text1" w:themeShade="FF" w:themeTint="FF"/>
                <w:sz w:val="22"/>
                <w:szCs w:val="22"/>
              </w:rPr>
              <w:t xml:space="preserve">proved to use 15-credit modules.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MSc Investment and Financial Risk Management </w:t>
      </w:r>
      <w:r w:rsidRPr="2030048C">
        <w:rPr>
          <w:rStyle w:val="normaltextrun"/>
          <w:rFonts w:ascii="Arial" w:hAnsi="Arial" w:cs="Arial"/>
          <w:color w:val="000000"/>
          <w:sz w:val="22"/>
          <w:szCs w:val="22"/>
          <w:shd w:val="clear" w:color="auto" w:fill="FFFFFF"/>
        </w:rPr>
        <w:t xml:space="preserve">has been developed with advice from managers at a number of banks including: Barclays, RBS Capital Markets; Commerzbank AG; Standard Chartered Bank; NatWest Bank. The programme is designed both for those who </w:t>
      </w:r>
      <w:r w:rsidRPr="2030048C">
        <w:rPr>
          <w:rStyle w:val="normaltextrun"/>
          <w:rFonts w:ascii="Arial" w:hAnsi="Arial" w:cs="Arial"/>
          <w:color w:val="000000" w:themeColor="text1"/>
          <w:sz w:val="22"/>
          <w:szCs w:val="22"/>
          <w:shd w:val="clear" w:color="auto" w:fill="FFFFFF"/>
        </w:rPr>
        <w:t xml:space="preserve">already have work experience in financial risk management, investment, banking and other financial services and want to enhance and update further their knowledge and understanding, and for those graduates from different disciplines who wish to have </w:t>
      </w:r>
      <w:r w:rsidRPr="2030048C">
        <w:rPr>
          <w:rStyle w:val="normaltextrun"/>
          <w:rFonts w:ascii="Arial" w:hAnsi="Arial" w:cs="Arial"/>
          <w:color w:val="000000"/>
          <w:sz w:val="22"/>
          <w:szCs w:val="22"/>
          <w:shd w:val="clear" w:color="auto" w:fill="FFFFFF"/>
        </w:rPr>
        <w:t xml:space="preserve">a rewarding, exciting and challenging career in investment and financial risk management field.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Graduates from the programme are expected to hold or progress to high ranking positions in investment and financial risk management around the globe or work in a related field, such as the financial press or relevant government bodies, or pursue a PhD.</w:t>
      </w:r>
      <w:r w:rsidRPr="2030048C">
        <w:rPr>
          <w:rStyle w:val="normaltextrun"/>
          <w:rFonts w:ascii="Arial" w:hAnsi="Arial" w:cs="Arial"/>
          <w:color w:val="000000" w:themeColor="text1"/>
          <w:sz w:val="22"/>
          <w:szCs w:val="22"/>
          <w:shd w:val="clear" w:color="auto" w:fill="FFFFFF"/>
        </w:rPr>
        <w:t xml:space="preserve"> Thus, </w:t>
      </w:r>
      <w:r w:rsidRPr="2030048C">
        <w:rPr>
          <w:rStyle w:val="normaltextrun"/>
          <w:rFonts w:ascii="Arial" w:hAnsi="Arial" w:cs="Arial"/>
          <w:color w:val="000000"/>
          <w:sz w:val="22"/>
          <w:szCs w:val="22"/>
          <w:shd w:val="clear" w:color="auto" w:fill="FFFFFF"/>
        </w:rPr>
        <w:t>developing employable graduates is at the heart of this programme. The students have the opportunity to engage in work-related projects drawing on case studies and real-life scenarios, and modules are designed to develop the skills valued by employers, such as presentations, teamwork, problem solving and communication. This is achieved by embedding employability initiatives within the curriculum as well as designing appropriate assessment method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relates to practice and how they can be developed in the future.</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This programme is designed to produce 'plug and play' graduates who are ready to slot into a specialised role. It covers financial modelling, financial risk management, risk financing, financial engineering, and fixed income analysis. It also covers financial statement analysis, modern portfolio theory and its implications for asset pricing, investment banking, and investment decisions associated with risk management. The students will be required to construct and manage investment portfolios for a specific period and present the results. They will use the dedicated Bloomberg dealing room and software packages to gain such practical experience. Finally, the research project will equip students to conduct research independently.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programme covers many aspects of the Chartered Financial Analyst (</w:t>
      </w:r>
      <w:r w:rsidRPr="2030048C">
        <w:rPr>
          <w:rStyle w:val="normaltextrun"/>
          <w:rFonts w:ascii="Arial" w:hAnsi="Arial" w:cs="Arial"/>
          <w:color w:val="000000"/>
          <w:sz w:val="22"/>
          <w:szCs w:val="22"/>
          <w:shd w:val="clear" w:color="auto" w:fill="FFFFFF"/>
        </w:rPr>
        <w:t>CFA</w:t>
      </w:r>
      <w:r w:rsidRPr="2030048C">
        <w:rPr>
          <w:rStyle w:val="normaltextrun"/>
          <w:rFonts w:ascii="Arial" w:hAnsi="Arial" w:cs="Arial"/>
          <w:color w:val="000000" w:themeColor="text1"/>
          <w:sz w:val="22"/>
          <w:szCs w:val="22"/>
          <w:shd w:val="clear" w:color="auto" w:fill="FFFFFF"/>
        </w:rPr>
        <w:t xml:space="preserve">) programme, giving students the chance to take the </w:t>
      </w:r>
      <w:r w:rsidRPr="2030048C">
        <w:rPr>
          <w:rStyle w:val="normaltextrun"/>
          <w:rFonts w:ascii="Arial" w:hAnsi="Arial" w:cs="Arial"/>
          <w:color w:val="000000"/>
          <w:sz w:val="22"/>
          <w:szCs w:val="22"/>
          <w:shd w:val="clear" w:color="auto" w:fill="FFFFFF"/>
        </w:rPr>
        <w:t>CFA</w:t>
      </w:r>
      <w:r w:rsidRPr="2030048C">
        <w:rPr>
          <w:rStyle w:val="normaltextrun"/>
          <w:rFonts w:ascii="Arial" w:hAnsi="Arial" w:cs="Arial"/>
          <w:color w:val="000000" w:themeColor="text1"/>
          <w:sz w:val="22"/>
          <w:szCs w:val="22"/>
          <w:shd w:val="clear" w:color="auto" w:fill="FFFFFF"/>
        </w:rPr>
        <w:t xml:space="preserve"> professional examination. The programme currently attracts some part qualified CFAs who wish to enhance and update further their knowledge and understanding in this field.</w:t>
      </w:r>
    </w:p>
    <w:p w:rsidRPr="2030048C" w:rsidP="2030048C">
      <w:pPr>
        <w:pStyle w:val="MsoBlock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The </w:t>
      </w:r>
      <w:r w:rsidRPr="2030048C">
        <w:rPr>
          <w:rStyle w:val="normaltextrun"/>
          <w:rFonts w:ascii="Arial" w:hAnsi="Arial" w:cs="Arial"/>
          <w:color w:val="000000" w:themeColor="text1"/>
          <w:sz w:val="22"/>
          <w:szCs w:val="22"/>
          <w:shd w:val="clear" w:color="auto" w:fill="FFFFFF"/>
        </w:rPr>
        <w:t>programme</w:t>
      </w:r>
      <w:r w:rsidRPr="2030048C">
        <w:rPr>
          <w:rStyle w:val="normaltextrun"/>
          <w:rFonts w:ascii="Arial" w:hAnsi="Arial" w:cs="Arial"/>
          <w:color w:val="000000" w:themeColor="text1"/>
          <w:sz w:val="22"/>
          <w:szCs w:val="22"/>
          <w:shd w:val="clear" w:color="auto" w:fill="FFFFFF"/>
          <w:lang w:val="en-US" w:eastAsia="en-US"/>
        </w:rPr>
        <w:t xml:space="preserve"> is aimed to demonstrate the links between theory and practice. Real-life examples and case studies will be used extensively during the taught sessions and the assessments will also expose students to real life problems and solutions. </w:t>
      </w:r>
      <w:r w:rsidRPr="2030048C">
        <w:rPr>
          <w:rStyle w:val="normaltextrun"/>
          <w:rFonts w:ascii="Arial" w:hAnsi="Arial" w:cs="Arial"/>
          <w:color w:val="000000" w:themeColor="text1"/>
          <w:sz w:val="22"/>
          <w:szCs w:val="22"/>
          <w:shd w:val="clear" w:color="auto" w:fill="FFFFFF"/>
        </w:rPr>
        <w:t>Students also have the opportunity to use the Bloomberg trading room where different trading techniques can be applied in practice with real live data.</w:t>
      </w:r>
    </w:p>
    <w:p w:rsidRPr="2030048C" w:rsidP="2030048C">
      <w:pPr>
        <w:pStyle w:val="MsoBlock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The </w:t>
      </w:r>
      <w:r w:rsidRPr="2030048C">
        <w:rPr>
          <w:rStyle w:val="normaltextrun"/>
          <w:rFonts w:ascii="Arial" w:hAnsi="Arial" w:cs="Arial"/>
          <w:color w:val="000000" w:themeColor="text1"/>
          <w:sz w:val="22"/>
          <w:szCs w:val="22"/>
          <w:shd w:val="clear" w:color="auto" w:fill="FFFFFF"/>
        </w:rPr>
        <w:t>programme</w:t>
      </w:r>
      <w:r w:rsidRPr="2030048C">
        <w:rPr>
          <w:rStyle w:val="normaltextrun"/>
          <w:rFonts w:ascii="Arial" w:hAnsi="Arial" w:cs="Arial"/>
          <w:color w:val="000000" w:themeColor="text1"/>
          <w:sz w:val="22"/>
          <w:szCs w:val="22"/>
          <w:shd w:val="clear" w:color="auto" w:fill="FFFFFF"/>
          <w:lang w:val="en-US" w:eastAsia="en-US"/>
        </w:rPr>
        <w:t xml:space="preserve"> has a balanced approach between quantitative and qualitative methods, and will provide candidates with the computer and research skills required by employers in this highly competitive sector.</w:t>
      </w:r>
    </w:p>
    <w:p w:rsidRPr="2030048C" w:rsidP="2030048C">
      <w:pPr>
        <w:pStyle w:val="MsoBlockText"/>
        <w:ind w:left="0" w:right="-43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also helps develop employment-ready students through an integrated business experience in the form of a work placement. </w:t>
      </w:r>
    </w:p>
    <w:p w:rsidRPr="2030048C" w:rsidP="2030048C">
      <w:pPr>
        <w:pStyle w:val="MsoBlockText"/>
        <w:ind w:left="0" w:right="-43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 </w:t>
      </w:r>
    </w:p>
    <w:p w:rsidRPr="2030048C" w:rsidP="2030048C">
      <w:pPr>
        <w:pStyle w:val="MsoBlock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this programme are to:</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investment and financial risk management practices in the context of the global business environment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understanding of the principles, concepts, theories, issues, problems and empirical evidence associated with investment and financial risk and other financial services through a critical examination of the literatures associated with these fields of academic enquiry</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understanding of alternative research methods and develop research skills and to enable course members to originate, to plan, to undertake and to present the findings of a substantial research project in the field of banking, finance and other financial services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 knowledge and skills necessary for analysis and synthesis, and continuing professional development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 head 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core theoretical contributions to investment and financial risk management and how these may be applied to enhance management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investment and financial risk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findings from the related empirical research literatures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investment and financial risk management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investment and financial risk management, banking, finance, and other financial services management , and also in the broader context of business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investment, risk, finance and banking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seven modules modules of various weightings.  Teaching blocks 1 &amp; 2 each comprise one 30-credit and two 15-credit modules, TB3 contains a 60-credit research methods and dissertation module.  A student must complete 180 credits for a Masters degree. All students will be provided with the University regulations. Full details of each module are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Due to the nature of the degree, which provides students with a range of opportunities including the option to take a one-year work placement following the taught programme, the course is intensive and requires hard work and dedication.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two starting points: September, starting in teaching block 1 (TB1), and January, starting in teaching block 2 (TB2).  Students in each intake will have their modules in a different order, except for Financial Modelling and Data Analytics which will always run in the students' first teaching block, and Financial Statement Analysis which will always run in the second teaching block.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Placement version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2-year placement version of the programme should complete all of their taught modules and their project and may work in their placement area for a maximum of 12 months.  The student will be advised of the deadlines when by which they need to apply and have their placement confirmed.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Investment and Financial Risk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Investment and Financial Risk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BANK FINANCIAL RISK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Engineering and Fixed Income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Statement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PORTFOLIO THEORY AND INVESTMENT BANKING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RISK FINANCING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cohort TB1 – TB2 - TB3, January cohort TB3-TB1-TB2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student learning is a reflection of the Learning and Teaching Strategy of the Faculty, which seeks to provide a learning experience from which all students gain optimum benefit.</w:t>
      </w:r>
    </w:p>
    <w:p w:rsidRPr="2030048C" w:rsidP="2030048C">
      <w:pPr>
        <w:rPr>
          <w:rFonts w:ascii="Arial" w:eastAsia="Arial" w:hAnsi="Arial" w:cs="Arial"/>
          <w:sz w:val="24"/>
          <w:szCs w:val="24"/>
        </w:rPr>
      </w:pPr>
      <w:r w:rsidRPr="2030048C">
        <w:rPr>
          <w:rFonts w:ascii="Arial" w:eastAsia="Arial" w:hAnsi="Arial" w:cs="Arial"/>
          <w:sz w:val="24"/>
          <w:szCs w:val="24"/>
        </w:rPr>
        <w:t>Further, the teaching and learning strategies take cognisance of the QAA Benchmark Statements for Masters Awards in business and management. These statements make specific reference to the knowledge and understanding and a range of cognitive and intellectual skills, and specific techniques expected as outcomes in all Masters level awards.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on the MSc Investment and Financial Risk Management programme seek and expect: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a wide range of knowledge and understanding that is recognised by, </w:t>
      </w:r>
      <w:r w:rsidRPr="2030048C">
        <w:rPr>
          <w:rFonts w:ascii="Arial" w:eastAsia="Arial" w:hAnsi="Arial" w:cs="Arial"/>
          <w:i/>
          <w:iCs/>
          <w:sz w:val="24"/>
          <w:szCs w:val="24"/>
        </w:rPr>
        <w:t>inter alia,</w:t>
      </w:r>
      <w:r w:rsidRPr="2030048C">
        <w:rPr>
          <w:rFonts w:ascii="Arial" w:eastAsia="Arial" w:hAnsi="Arial" w:cs="Arial"/>
          <w:sz w:val="24"/>
          <w:szCs w:val="24"/>
        </w:rPr>
        <w:t xml:space="preserve"> prospective employers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transferable skills of analysis and synthesis which they will be able to utilise to enhance their future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meet these objectives in the context of a one-year programme devoted to investment and financial risk requires flexibility in learning styles on the part of the students. It also requires flexibility in delivery and support for learning provided by the Course Team. Key resources for students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 led learning in formal lectures and classroom activities and directed learning undertaken outside formal class contact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independent self-directed learning on the part of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use of study groups, including discussions and exercises outside of the classroom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preparation of case materials and exercises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peer group interaction and mutual support from other members of the cohort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facilities available through the Learning Resources Centre, including online bibliographic databases, financial databases, and other electronic media</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supervision by lecturers for the preparation of the dissertation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Canvas online Learning Management System including online discussion groups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guest speakers from other academic institutions, the professions, and the corporate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 learning is facilitated by the use of a variety of these materials and structures. Lecturers direct learning by identifying appropriate reading, case materials, exercises and topics or scenarios for class discussion. They also lead discussions, to ensure that key learning points are acquired. Lecturers also use Canvas to provide additional materials as a means of engendering independent and collaborative and interactive student learning, and for communicating with students.</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reflects the aims and learning outcomes of the programme. It is designed to assess the knowledge and skills essential to meet the overall requirements of a Masters degree, as well as the specific knowledge requirements of individual subject modules.</w:t>
      </w:r>
    </w:p>
    <w:p w:rsidRPr="2030048C" w:rsidP="2030048C">
      <w:pPr>
        <w:rPr>
          <w:rFonts w:ascii="Arial" w:eastAsia="Arial" w:hAnsi="Arial" w:cs="Arial"/>
          <w:sz w:val="24"/>
          <w:szCs w:val="24"/>
        </w:rPr>
      </w:pPr>
      <w:r w:rsidRPr="2030048C">
        <w:rPr>
          <w:rFonts w:ascii="Arial" w:eastAsia="Arial" w:hAnsi="Arial" w:cs="Arial"/>
          <w:sz w:val="24"/>
          <w:szCs w:val="24"/>
        </w:rPr>
        <w:t>The purposes of the assessment strategy are to provide: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appropriate formative assessments to enable students to develop and measure their knowledge, understanding, skills and capacities associated with a master’s degree in investment and financial risk management. Class and independent exercises allow students to have feedback on their understanding and application of knowledge.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appropriate summative assessments to enable students to demonstrate their ability to apply theory, concepts, principles and empirical evidence to practice and to develop flexible, innovative, and conceptually robust solutions to problems in investment and financial risk management.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opportunities for students to utilise and apply their own experience in assessment.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equitable, consistent and reliable measure of achievement and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regime will utilise a variety of assessment methods and techniques in order to reflect the teaching and learning strategies employed. These will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written analyses of case studies, and quasi business reports, providing students with real life data and examples; traditional essays based on theoretical issues; reports and analyses, developing academic research and writing skills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formal presentation, developing skills and confidence in making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formal examinations and objective testing to assess knowledge and application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group assessment, providing students with the opportunity for peer learning and developing students’ abilities to work as a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Each student is allocated a personal tutor. The role of the personal tutor is to support their tutees on their course of study, providing a contact that students can meet and discuss progress, achievements and any concerns that they may have.</w:t>
      </w:r>
    </w:p>
    <w:p w:rsidRPr="2030048C" w:rsidP="2030048C">
      <w:pPr>
        <w:rPr>
          <w:rFonts w:ascii="Arial" w:eastAsia="Arial" w:hAnsi="Arial" w:cs="Arial"/>
          <w:sz w:val="24"/>
          <w:szCs w:val="24"/>
        </w:rPr>
      </w:pPr>
      <w:r w:rsidRPr="2030048C">
        <w:rPr>
          <w:rFonts w:ascii="Arial" w:eastAsia="Arial" w:hAnsi="Arial" w:cs="Arial"/>
          <w:sz w:val="24"/>
          <w:szCs w:val="24"/>
        </w:rPr>
        <w:t>In addition to the personal tutor, students are also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FBSS Academic Skills Centre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 place supervisor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the professions and the banking sector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Practical training on financial databases such as Bloomberg based trading, Datastream/Thomson One Banker, FAME.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25"/>
        <w:gridCol w:w="367"/>
        <w:gridCol w:w="941"/>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ListParagraph"/>
  </w:style>
  <w:style w:type="paragraph" w:customStyle="1" w:styleId="MsoBlockText">
    <w:name w:val="MsoBlock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BE51243-E24D-48AC-BC33-1ED1616B55C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