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AI for Business and Innovation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24/04/2026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AI for Business and Innovation</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AI for Business and Innovation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AI for Business and Innovation</w:t>
            </w: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PFABI1ABI20</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35AD1BA">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AI for Business and Innovation with Professional Placement</w:t>
            </w:r>
          </w:p>
          <w:p w:rsidR="72431AC7" w:rsidP="540725A5" w14:textId="77777777">
            <w:pPr>
              <w:rPr>
                <w:rFonts w:ascii="Arial" w:eastAsia="Arial" w:hAnsi="Arial" w:cs="Arial"/>
                <w:b w:val="0"/>
                <w:bCs w:val="0"/>
                <w:sz w:val="24"/>
                <w:szCs w:val="24"/>
              </w:rPr>
            </w:pPr>
          </w:p>
        </w:tc>
      </w:tr>
      <w:tr w14:paraId="34BB979C" w14:textId="77777777" w:rsidTr="235AD1BA">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AI for Business and Innovation with Professional Placement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AI for Business and Innovation with Professional Placement</w:t>
            </w:r>
            <w:r>
              <w:br/>
            </w:r>
          </w:p>
        </w:tc>
      </w:tr>
      <w:tr w14:paraId="2A120393" w14:textId="77777777" w:rsidTr="235AD1BA">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textId="589352CA">
            <w:pPr>
              <w:rPr>
                <w:rFonts w:ascii="Arial" w:eastAsia="Arial" w:hAnsi="Arial" w:cs="Arial"/>
                <w:b w:val="0"/>
                <w:bCs w:val="0"/>
                <w:sz w:val="24"/>
                <w:szCs w:val="24"/>
                <w:lang w:val="en-GB"/>
              </w:rPr>
            </w:pPr>
          </w:p>
          <w:p w:rsidR="72431AC7" w:rsidP="4AFBBB3A"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p>
        </w:tc>
      </w:tr>
      <w:tr w14:paraId="78C565E9" w14:textId="77777777" w:rsidTr="235AD1BA">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 year</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 following variants from the Academic Framework requirements have been approved and are in place for this course.  To access the regulations please click </w:t>
            </w:r>
            <w:hyperlink r:id="rId9" w:tooltip="https://www.kingston.ac.uk/about/governance/policies-and-regulations" w:history="1">
              <w:r w:rsidRPr="158602C4">
                <w:rPr>
                  <w:rStyle w:val="normaltextrun"/>
                  <w:rFonts w:ascii="Arial" w:eastAsia="Arial" w:hAnsi="Arial" w:cs="Arial"/>
                  <w:b w:val="0"/>
                  <w:bCs w:val="0"/>
                  <w:color w:val="000000" w:themeColor="text1" w:themeShade="FF" w:themeTint="FF"/>
                  <w:sz w:val="24"/>
                  <w:szCs w:val="24"/>
                </w:rPr>
                <w:t>here</w:t>
              </w:r>
            </w:hyperlink>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1. Programme Learning Outcomes A3, B3 and C5 to be summatively assessed once, in the 60-credit module AI Innovation Lab: Research or Industry Project only.</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1"/>
          <w:szCs w:val="21"/>
          <w:shd w:val="clear" w:color="auto" w:fill="FFFFFF"/>
        </w:rPr>
        <w:t>The aims of the programme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1"/>
          <w:szCs w:val="21"/>
          <w:shd w:val="clear" w:color="auto" w:fill="FFFFFF"/>
        </w:rPr>
        <w:t>Gain an in-depth understanding of the capabilities and limitations of Generative AI, including conversational agents and agentic systems, and their application to organisational creativity, innovation and entrepreneurial value creation.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1"/>
          <w:szCs w:val="21"/>
          <w:shd w:val="clear" w:color="auto" w:fill="FFFFFF"/>
        </w:rPr>
        <w:t>Develop your ability to critically evaluate and govern Generative AI systems, aligning technological capabilities with human and organisational needs through ethical and human-centred approaches.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1"/>
          <w:szCs w:val="21"/>
          <w:shd w:val="clear" w:color="auto" w:fill="FFFFFF"/>
        </w:rPr>
        <w:t>Apply strategic foresight approaches to anticipate the evolving capabilities of Generative AI and their implications for digital transformation.</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you to undertake cross-functional and future-focused strategic roles in business, consulting, entrepreneurship, and organisational transformation, enabling you to bridge the gap between technological opportunity and business impact in an era shaped by generative conversational agents and agentic intelligent systems.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0"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Pr="2030048C" w:rsidP="2030048C">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w:t>
      </w:r>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AI conversational agents, including how large language model–based systems operate, how prompting shapes outputs, and how human judgement guides creative, reliable, ethical, and context-sensitive interaction in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synthesise, and interpret complex data, ideas, and ethical issues related to AI to support responsible and evidence-based decision-making.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implement, and evaluate human–AI collaboration strategies to enhance creativity, productivity, and organisational outcomes in professional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evaluate global frameworks for AI governance, ethics, and sustainability, drawing on international standards such as UNESCO and the UN Sustainable Development Goals.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apply design thinking, foresight, and strategic management methodologies to address real-world business and societal challenges.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Employ prompt engineering, AI non-tech literacy, and AI communication techniques to co-create reliable, transparent, and persuasive outputs using Generative AI tools.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of AI-driven innovation processes, entrepreneurial methodologies, and digital transformation strategies across multiple sectors.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 Integrate and evaluate insights from multiple disciplines—including ethics, foresight, design, and strategy—to develop holistic and adaptive innovation approach.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Orchestrate collaborative intelligence between humans and AI agents and systems by assigning roles, responsibilities, and boundaries to AI, and exercising informed judgement in complex organisational or community environments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organisational, human, and societal implications of embedding AI, automation, and intelligent systems across external, internal, and ecosystem dimensions.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critical and creative thinking in the conception, evaluation, and communication of AI-enabled ventures, governance frameworks, or transformation roadmaps.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Communicate complex AI concepts, insights, and business propositions effectively through AI-enabled  storytelling and stakeholder engagement.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the principles, architectures, and organisational applications of AI–enabled automated and agentic systems, including their capacity to execute tasks, coordinate workflows, and support semi-autonomous decision processes within business and innovation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personal and professional development, demonstrating ethical awareness, self-awareness, and learning agility in AI-mediated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Elicit practical or theoretical insights that inform responsible AI-enabled innovation in organisational settings.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professional placement year will additionally:</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Develop and practice knowledge and skills in a professional setting to support employability.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professional placement year will additionally:</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workplace environment to the academic study of climate resilience and AI.</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Students opting for a professional placement year will additionally: Apply practical work-based experiences to academic study and career aspirations.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 </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 </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comprises four 30-credit modules—AI Literacy and Prompt Engineering; AI Governance, Ethics, and People; AI-Driven Design Thinking and Entrepreneurship; and AI Foresight and Digital Transformation—all designed with no pre-requisites to enhance inclusivity. The AI Innovation Lab: Industry or Research Project is a 60 credit-module that offers an inclusive, independent learning experience grounded in real or case-based organisational contexts, where you select the organisation or case that underpins your work. Through a choice of practice-based innovation or research-focused learning approach, the module enables you to tailor your project to your interests and career aspirations while demonstrating advanced critical judgement and professional autonomy. The programme also offers the Kingston Business School–wide Placement module as an optional component in Year 2, providing additional employability and professional development opportunities if you wish to undertake it.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MSc AI for Business and Innovation offers two entry points each academic year, in September and January, giving you greater flexibility in when you begin your studies. This structure allows you to start the programme at a time that best fits your personal, academic, or professional circumstances, while benefiting from a coherent and well-sequenced learning experience.</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Full details of each module will be provided in module descriptors and in the module canvas pages” in the Outline Programme Structure.</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AI for Business and Innovation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AI for Business and Innovation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AI Foresight and Digital Transformation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BS7044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AI Governance, Ethics, and People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BS7041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AI Innovation Lab: Industry or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SPAN</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AI Literacy and Prompt Engineering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AI-Driven Design Thinking and Entrepreneurship</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BS7043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 AI for Business and Innovation</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 AI for Business and Innovation</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AI for Business and Innovation with Professional Placement</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AI for Business and Innovation with Professional Placement</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For students on the placement route, the successful completion of P</w:t>
      </w:r>
      <w:r w:rsidRPr="2030048C">
        <w:rPr>
          <w:rStyle w:val="normaltextrun"/>
          <w:rFonts w:ascii="Arial" w:eastAsia="Arial" w:hAnsi="Arial" w:cs="Arial"/>
          <w:color w:val="000000" w:themeColor="text1" w:themeShade="FF" w:themeTint="FF"/>
          <w:sz w:val="22"/>
          <w:szCs w:val="22"/>
          <w:lang w:val="en-US" w:eastAsia="en-US"/>
        </w:rPr>
        <w:t>rofessional Placement module BA7777</w:t>
      </w:r>
      <w:r w:rsidRPr="2030048C">
        <w:rPr>
          <w:rStyle w:val="normaltextrun"/>
          <w:rFonts w:ascii="Arial" w:eastAsia="Arial" w:hAnsi="Arial" w:cs="Arial"/>
          <w:color w:val="000000" w:themeColor="text1" w:themeShade="FF" w:themeTint="FF"/>
          <w:sz w:val="22"/>
          <w:szCs w:val="22"/>
        </w:rPr>
        <w:t xml:space="preserve"> will be required for the award of the professional placement credits. If a student does not secure a placement or does not complete the professional placement, they will automatically be transferred to the without placement route.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and the professional placement module, are eligible for the award of Postgraduate Diploma AI Business and Innovation with Professional Placement.</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programme uses a range of teaching and assessment methods which have been designed to support your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rPr>
          <w:rFonts w:ascii="Arial" w:eastAsia="Arial" w:hAnsi="Arial" w:cs="Arial"/>
          <w:sz w:val="24"/>
          <w:szCs w:val="24"/>
        </w:rPr>
      </w:pPr>
      <w:r w:rsidRPr="2030048C">
        <w:rPr>
          <w:rFonts w:ascii="Arial" w:eastAsia="Arial" w:hAnsi="Arial" w:cs="Arial"/>
          <w:sz w:val="24"/>
          <w:szCs w:val="24"/>
        </w:rPr>
        <w:t>· Laboratory Sessions</w:t>
      </w:r>
    </w:p>
    <w:p w:rsidRPr="2030048C" w:rsidP="2030048C">
      <w:pPr>
        <w:rPr>
          <w:rFonts w:ascii="Arial" w:eastAsia="Arial" w:hAnsi="Arial" w:cs="Arial"/>
          <w:sz w:val="24"/>
          <w:szCs w:val="24"/>
        </w:rPr>
      </w:pPr>
      <w:r w:rsidRPr="2030048C">
        <w:rPr>
          <w:rFonts w:ascii="Arial" w:eastAsia="Arial" w:hAnsi="Arial" w:cs="Arial"/>
          <w:sz w:val="24"/>
          <w:szCs w:val="24"/>
        </w:rPr>
        <w:t>· Lectures</w:t>
      </w:r>
    </w:p>
    <w:p w:rsidRPr="2030048C" w:rsidP="2030048C">
      <w:pPr>
        <w:rPr>
          <w:rFonts w:ascii="Arial" w:eastAsia="Arial" w:hAnsi="Arial" w:cs="Arial"/>
          <w:sz w:val="24"/>
          <w:szCs w:val="24"/>
        </w:rPr>
      </w:pPr>
      <w:r w:rsidRPr="2030048C">
        <w:rPr>
          <w:rFonts w:ascii="Arial" w:eastAsia="Arial" w:hAnsi="Arial" w:cs="Arial"/>
          <w:sz w:val="24"/>
          <w:szCs w:val="24"/>
        </w:rPr>
        <w:t>· Seminars</w:t>
      </w:r>
    </w:p>
    <w:p w:rsidRPr="2030048C" w:rsidP="2030048C">
      <w:pPr>
        <w:rPr>
          <w:rFonts w:ascii="Arial" w:eastAsia="Arial" w:hAnsi="Arial" w:cs="Arial"/>
          <w:sz w:val="24"/>
          <w:szCs w:val="24"/>
        </w:rPr>
      </w:pPr>
      <w:r w:rsidRPr="2030048C">
        <w:rPr>
          <w:rFonts w:ascii="Arial" w:eastAsia="Arial" w:hAnsi="Arial" w:cs="Arial"/>
          <w:sz w:val="24"/>
          <w:szCs w:val="24"/>
        </w:rPr>
        <w:t>· Workshops</w:t>
      </w:r>
    </w:p>
    <w:p w:rsidRPr="2030048C" w:rsidP="2030048C">
      <w:pPr>
        <w:rPr>
          <w:rFonts w:ascii="Arial" w:eastAsia="Arial" w:hAnsi="Arial" w:cs="Arial"/>
          <w:sz w:val="24"/>
          <w:szCs w:val="24"/>
        </w:rPr>
      </w:pPr>
      <w:r w:rsidRPr="2030048C">
        <w:rPr>
          <w:rFonts w:ascii="Arial" w:eastAsia="Arial" w:hAnsi="Arial" w:cs="Arial"/>
          <w:sz w:val="24"/>
          <w:szCs w:val="24"/>
        </w:rPr>
        <w:t>Guidance on the use of independent study time is communicated through the ‘Succeed in your module’ section on the Canvas Virtual Learning Environment and through other communications during the programme.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strategy for the programme is informed by contemporary business practice in entrepreneurship, consultancy, and large, complex organisations, where theoretical frameworks must be applied to real-world contexts and communicated effectively to diverse stakeholders</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you additional optional opportunities for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you with the opportunity to develop your knowledge and skills relating to at least two United Nations Sustainable Development Goals (UN SDGs).</w:t>
      </w:r>
    </w:p>
    <w:p w:rsidRPr="2030048C" w:rsidP="2030048C">
      <w:pPr>
        <w:rPr>
          <w:rFonts w:ascii="Arial" w:eastAsia="Arial" w:hAnsi="Arial" w:cs="Arial"/>
          <w:sz w:val="24"/>
          <w:szCs w:val="24"/>
        </w:rPr>
      </w:pPr>
      <w:r w:rsidRPr="2030048C">
        <w:rPr>
          <w:rFonts w:ascii="Arial" w:eastAsia="Arial" w:hAnsi="Arial" w:cs="Arial"/>
          <w:sz w:val="24"/>
          <w:szCs w:val="24"/>
        </w:rPr>
        <w:t>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You are supported through a range of services that provide academic and wider support. These include:</w:t>
      </w:r>
    </w:p>
    <w:p w:rsidRPr="2030048C" w:rsidP="2030048C">
      <w:pPr>
        <w:rPr>
          <w:rFonts w:ascii="Arial" w:eastAsia="Arial" w:hAnsi="Arial" w:cs="Arial"/>
          <w:sz w:val="24"/>
          <w:szCs w:val="24"/>
        </w:rPr>
      </w:pPr>
      <w:r w:rsidRPr="2030048C">
        <w:rPr>
          <w:rFonts w:ascii="Arial" w:eastAsia="Arial" w:hAnsi="Arial" w:cs="Arial"/>
          <w:sz w:val="24"/>
          <w:szCs w:val="24"/>
        </w:rPr>
        <w:t>· A Module Leader for each module</w:t>
      </w:r>
    </w:p>
    <w:p w:rsidRPr="2030048C" w:rsidP="2030048C">
      <w:pPr>
        <w:rPr>
          <w:rFonts w:ascii="Arial" w:eastAsia="Arial" w:hAnsi="Arial" w:cs="Arial"/>
          <w:sz w:val="24"/>
          <w:szCs w:val="24"/>
        </w:rPr>
      </w:pPr>
      <w:r w:rsidRPr="2030048C">
        <w:rPr>
          <w:rFonts w:ascii="Arial" w:eastAsia="Arial" w:hAnsi="Arial" w:cs="Arial"/>
          <w:sz w:val="24"/>
          <w:szCs w:val="24"/>
        </w:rPr>
        <w:t>· A Course Leader to help students understand the course structure</w:t>
      </w:r>
    </w:p>
    <w:p w:rsidRPr="2030048C" w:rsidP="2030048C">
      <w:pPr>
        <w:rPr>
          <w:rFonts w:ascii="Arial" w:eastAsia="Arial" w:hAnsi="Arial" w:cs="Arial"/>
          <w:sz w:val="24"/>
          <w:szCs w:val="24"/>
        </w:rPr>
      </w:pPr>
      <w:r w:rsidRPr="2030048C">
        <w:rPr>
          <w:rFonts w:ascii="Arial" w:eastAsia="Arial" w:hAnsi="Arial" w:cs="Arial"/>
          <w:sz w:val="24"/>
          <w:szCs w:val="24"/>
        </w:rPr>
        <w:t>· Personal Tutors to provide academic and personal support</w:t>
      </w:r>
    </w:p>
    <w:p w:rsidRPr="2030048C" w:rsidP="2030048C">
      <w:pPr>
        <w:rPr>
          <w:rFonts w:ascii="Arial" w:eastAsia="Arial" w:hAnsi="Arial" w:cs="Arial"/>
          <w:sz w:val="24"/>
          <w:szCs w:val="24"/>
        </w:rPr>
      </w:pPr>
      <w:r w:rsidRPr="2030048C">
        <w:rPr>
          <w:rFonts w:ascii="Arial" w:eastAsia="Arial" w:hAnsi="Arial" w:cs="Arial"/>
          <w:sz w:val="24"/>
          <w:szCs w:val="24"/>
        </w:rPr>
        <w:t>· Technical support to advise students on IT and the use of software </w:t>
      </w:r>
    </w:p>
    <w:p w:rsidRPr="2030048C" w:rsidP="2030048C">
      <w:pPr>
        <w:rPr>
          <w:rFonts w:ascii="Arial" w:eastAsia="Arial" w:hAnsi="Arial" w:cs="Arial"/>
          <w:sz w:val="24"/>
          <w:szCs w:val="24"/>
        </w:rPr>
      </w:pPr>
      <w:r w:rsidRPr="2030048C">
        <w:rPr>
          <w:rFonts w:ascii="Arial" w:eastAsia="Arial" w:hAnsi="Arial" w:cs="Arial"/>
          <w:sz w:val="24"/>
          <w:szCs w:val="24"/>
        </w:rPr>
        <w:t>· Student Voice Committee – to ensure the views of students are heard</w:t>
      </w:r>
    </w:p>
    <w:p w:rsidRPr="2030048C" w:rsidP="2030048C">
      <w:pPr>
        <w:rPr>
          <w:rFonts w:ascii="Arial" w:eastAsia="Arial" w:hAnsi="Arial" w:cs="Arial"/>
          <w:sz w:val="24"/>
          <w:szCs w:val="24"/>
        </w:rPr>
      </w:pPr>
      <w:r w:rsidRPr="2030048C">
        <w:rPr>
          <w:rFonts w:ascii="Arial" w:eastAsia="Arial" w:hAnsi="Arial" w:cs="Arial"/>
          <w:sz w:val="24"/>
          <w:szCs w:val="24"/>
        </w:rPr>
        <w:t>· Canvas – Kingston University’s Virtual Learning Environment</w:t>
      </w:r>
    </w:p>
    <w:p w:rsidRPr="2030048C" w:rsidP="2030048C">
      <w:pPr>
        <w:rPr>
          <w:rFonts w:ascii="Arial" w:eastAsia="Arial" w:hAnsi="Arial" w:cs="Arial"/>
          <w:sz w:val="24"/>
          <w:szCs w:val="24"/>
        </w:rPr>
      </w:pPr>
      <w:r w:rsidRPr="2030048C">
        <w:rPr>
          <w:rFonts w:ascii="Arial" w:eastAsia="Arial" w:hAnsi="Arial" w:cs="Arial"/>
          <w:sz w:val="24"/>
          <w:szCs w:val="24"/>
        </w:rPr>
        <w:t>· Student support facilities that can provide advice on issues such as finance, regulations, legal matters, accommodation, international student support</w:t>
      </w:r>
    </w:p>
    <w:p w:rsidRPr="2030048C" w:rsidP="2030048C">
      <w:pPr>
        <w:rPr>
          <w:rFonts w:ascii="Arial" w:eastAsia="Arial" w:hAnsi="Arial" w:cs="Arial"/>
          <w:sz w:val="24"/>
          <w:szCs w:val="24"/>
        </w:rPr>
      </w:pPr>
      <w:r w:rsidRPr="2030048C">
        <w:rPr>
          <w:rFonts w:ascii="Arial" w:eastAsia="Arial" w:hAnsi="Arial" w:cs="Arial"/>
          <w:sz w:val="24"/>
          <w:szCs w:val="24"/>
        </w:rPr>
        <w:t>· Disabled student support</w:t>
      </w:r>
    </w:p>
    <w:p w:rsidRPr="2030048C" w:rsidP="2030048C">
      <w:pPr>
        <w:rPr>
          <w:rFonts w:ascii="Arial" w:eastAsia="Arial" w:hAnsi="Arial" w:cs="Arial"/>
          <w:sz w:val="24"/>
          <w:szCs w:val="24"/>
        </w:rPr>
      </w:pPr>
      <w:r w:rsidRPr="2030048C">
        <w:rPr>
          <w:rFonts w:ascii="Arial" w:eastAsia="Arial" w:hAnsi="Arial" w:cs="Arial"/>
          <w:sz w:val="24"/>
          <w:szCs w:val="24"/>
        </w:rPr>
        <w:t>· The Kingston Students’ Union</w:t>
      </w:r>
    </w:p>
    <w:p w:rsidRPr="2030048C" w:rsidP="2030048C">
      <w:pPr>
        <w:rPr>
          <w:rFonts w:ascii="Arial" w:eastAsia="Arial" w:hAnsi="Arial" w:cs="Arial"/>
          <w:sz w:val="24"/>
          <w:szCs w:val="24"/>
        </w:rPr>
      </w:pPr>
      <w:r w:rsidRPr="2030048C">
        <w:rPr>
          <w:rFonts w:ascii="Arial" w:eastAsia="Arial" w:hAnsi="Arial" w:cs="Arial"/>
          <w:sz w:val="24"/>
          <w:szCs w:val="24"/>
        </w:rPr>
        <w:t>· 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(SVC)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Faculty Forums and the School Education Committee </w:t>
      </w:r>
    </w:p>
    <w:p w:rsidR="3D0EBCB8"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Advisory Panel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    QAA Master's Business &amp; Management Benchmark </w:t>
      </w:r>
      <w:r w:rsidRPr="2030048C">
        <w:rPr>
          <w:rFonts w:ascii="Arial" w:eastAsia="Arial" w:hAnsi="Arial" w:cs="Arial"/>
          <w:sz w:val="24"/>
          <w:szCs w:val="24"/>
        </w:rPr>
        <w:br/>
      </w:r>
      <w:r w:rsidRPr="2030048C">
        <w:rPr>
          <w:rFonts w:ascii="Arial" w:eastAsia="Arial" w:hAnsi="Arial" w:cs="Arial"/>
          <w:sz w:val="24"/>
          <w:szCs w:val="24"/>
        </w:rPr>
        <w:t>•    AACSB (Association to Advance Collegiate Schools of Business) Standards  </w:t>
      </w:r>
      <w:r w:rsidRPr="2030048C">
        <w:rPr>
          <w:rFonts w:ascii="Arial" w:eastAsia="Arial" w:hAnsi="Arial" w:cs="Arial"/>
          <w:sz w:val="24"/>
          <w:szCs w:val="24"/>
        </w:rPr>
        <w:br/>
      </w:r>
      <w:r w:rsidRPr="2030048C">
        <w:rPr>
          <w:rFonts w:ascii="Arial" w:eastAsia="Arial" w:hAnsi="Arial" w:cs="Arial"/>
          <w:sz w:val="24"/>
          <w:szCs w:val="24"/>
        </w:rPr>
        <w:t>•    United Nations Sustainable Development Goals (SDGs)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947"/>
        <w:gridCol w:w="367"/>
        <w:gridCol w:w="927"/>
        <w:gridCol w:w="927"/>
        <w:gridCol w:w="941"/>
        <w:gridCol w:w="927"/>
        <w:gridCol w:w="927"/>
        <w:gridCol w:w="92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BS7041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BA7777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BS7044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BS7045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If you join the MSc AI for Business and Innovation in the September intake, you will begin your studies in Teaching Block 1, completing the modules AI Literacy and Prompt Engineering and AI Governance, Ethics, and People. You will then progress to Teaching Block 2, where you will study AI-Driven Design Thinking and Entrepreneurship and AI Foresight and Digital Transformation, and you will then work on the 60-credit AI Innovation Lab: Industry or Research Project.</w:t>
      </w:r>
    </w:p>
    <w:p w:rsidRPr="2030048C" w:rsidP="2030048C">
      <w:pPr>
        <w:rPr>
          <w:rFonts w:ascii="Arial" w:eastAsia="Arial" w:hAnsi="Arial" w:cs="Arial"/>
          <w:sz w:val="24"/>
          <w:szCs w:val="24"/>
        </w:rPr>
      </w:pPr>
      <w:r w:rsidRPr="2030048C">
        <w:rPr>
          <w:rFonts w:ascii="Arial" w:eastAsia="Arial" w:hAnsi="Arial" w:cs="Arial"/>
          <w:sz w:val="24"/>
          <w:szCs w:val="24"/>
        </w:rPr>
        <w:t>If you join the programme in the January intake, you will begin in Teaching Block 2, completing AI-Driven Design Thinking and Entrepreneurship and AI Foresight and Digital Transformation. You will then work on the AI Innovation Lab, which spans the programme and allows you to develop your industry or research project. You will attend the Teaching Block 1 modules—AI Literacy and Prompt Engineering and AI Governance, Ethics, and People—in the following academic year, ensuring you experience the full programme curriculum.</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kingston.ac.uk/about/governance/policies-and-regul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321C502-D185-4DA0-8E44-E6DA1427301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