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LLB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with Professional Experience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19/01/2016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06/03/2026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Law</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LLB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with Professional Experience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LLB (Hons) with Professional Experience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LLB (Hons) with Professional Experience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LLB with Professional Experience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BLLKUDH3F/BLLKUDH4S/BLLKUDH4F</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Three years full time (M100), Four years full time including a year abroad (M132)</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Penhryn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Solicitors Regulation Authority and the Bar Standards Board as a Qualifying Law Degree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the maximum number of attempts permitted for each of the Foundations of Legal Knowledge within a Qualifying Law Degree (QLD) is normally 3. Therefore, contrary to the Undergraduate Regulations, the maximum number of attempts in the Core modules is 3 for any student wishing to have their LLB recognised as a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Law, Qualifying Law Degrees (QLD):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Solicitors Regulation Authority and the Bar Standards Board provide that no LLB student may be compensated for more than one of the Foundations of Legal Knowledge over the degree as a whole for a QLD. Therefore, contrary to the Undergraduate Regulations, compensation will only be permitted exceptionally in relation to any Core module of the degree.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course (“Course”) has the following general aims: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a legal education which meets the requirements of the professional bodies for recognition as a qualifying law degree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the general transferable employability skills which graduates should be able to apply to any situation.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has been designed for those who may wish to pursue a career in the legal profession by providing an opportunity to meet the requirement of the professional bodies for the academic stage of legal education.  This is achieved by the incorporation of the Foundations of Legal Knowledge as the following compulsory Core modules on the Course: English Legal System, Law of Contract, Law of Tort, Public Law, Criminal Law, Law of the European Union, Land Law, and Equity and Trusts. Successful completion of these modules entitles the student to a Qualifying Law Degree (QLD).  In order to develop legal proficiency, we offer a wide range of legal specialisms in the second (Level 5) and final (Level 6) year.  These include Commercial Law, International and Comparative Law, Employment Law, International Trade Law, Company Law, Intellectual Property Law, International Criminal and Human Rights Law, Family and Child Law, Dispute Resolution, and Law of Technology and Innovation.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allows students to develop transferable employability skills, which means it is also appropriate for those who may wish to pursue careers not only the legal sector but also in other professions, thus providing a wide range of career opportunities.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LLB degree operates across three teaching blocks (TB1 Oct-Dec; TB2 Jan-Mar; TB3 May-Jul).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TB1 and TB2 focus on learning, delivery and engagement with the legal knowledge and its application required for a QLD. TB1 and TB2 for each level are made up of four modules each worth 30 credit points. Typically, a student must complete 120 credits at each level (during the first two teaching blocks).  All students are provided with the University regulations, as well as any specific additions that may be required for accreditation by outside bodies (e.g., professional or statutory bodies that confer professional accreditation). Full details of each module are provided in module descriptors and student module guides.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TB3 focuses purely on the enhancement of the student’s employability skills. Students can choose one of the following: (i) work placement/internship; (ii) module on Professional Practice and Ethics.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Two defining features of the Course 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Professional Readiness embedded in Levels 4 and 5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Professional Experience activities in TB3 for Levels 4 and 5.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non-credit bearing Professional Readiness module designed to enhance students’ work-related skills is delivered across 24 weeks in Teaching Block 1 (TB1) and Teaching Block 2 (TB2) at Levels 4 and 5. This is a programme of relevant skills delivery and professional development, which links closely with the assessment of employability skills in the Core Foundations of Legal Knowledge modules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Professional Readiness module prepares students for professional experience activities in Teaching Block 3 (TB3), such as an internship. Students have the opportunity to secure an internship opportunity in TB3 at Level 4 and/or Level 5. The module also prepares students for employment on a more general level, by enabling students to apply and develop in real organisations the knowledge and skills they have learnt in the classroom, as well as enhancing the skills and attributes employers expect new recruits to possess. All placement providers are subject to due diligence and ongoing monitoring to ensure that the student experience is of a high quality, and that equality, diversity and inclusion standards are met. This applies equally to placement providers based overseas.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Alternatively, students can do a supplemented professional experience module in TB3 at Levels 4 and 5: either Professional Practice and Ethics or Mediation. These modules run at the same times as the Internship module.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addition to a work placement or internship and the professional experience modules, students also have the option of studying abroad or working for a year between Levels 5 and 6. Students who attend a period of study abroad gain a great deal from the experience, particularly regarding different cultures and living in a different country. Students who do a year-long work placement gain invaluable experience, as well as the opportunity of developing employability skills, as well as having the opportunity to explore careers they may be interested in pursuing after graduation.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Briefing sessions on the options available to students during TB3, are given during Levels 4 and 5. There are opportunities for re-assessment of each of the Professional Experience modules of Levels 4 and 5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intensive and innovative Course aims to provide students, and graduates, with the self-determination they need to reach their goals, and the knowledge and skills that will serve them well in the future. Students are encouraged to have high aspirations, in line with high expectations of them on the LLB programme. The programme prioritises inclusion and diversity, and students are provided with a very high level of support so that they can achieve their potential. This support is not only towards academic achievement but also in developing key skills for confidence and employability.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give students the best platform for securing employment, there is also a wide range of opportunities for students to become involved in real-world learning, through co-curricular and extra-curricular activities.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On completion of the LLB programme, Kingston Law School graduates will demonstrate not only legal knowledge, but also self-confidence, self-determination, flexibility, and inter-personal skills.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location of Kingston University means students enjoy easy access to central London, and important legal institutions, such as the Supreme Court of England and Wales, the Houses of Parliament, the Royal Courts of Justice, and the Old Bailey, which are nine miles away. Kingston-upon-Thames is an ancient settlement dating back to the Anglo-Saxon period and kings were once crowned here. In modern times, it has developed into a vibrant shopping and entertainment hub, as well as being the seat of Kingston University.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knowledge of the institutions within which that law is administered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appropriate problem-solving techniques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Information, Communication and TechnologyUse ICT to present text/numerical information and imagesBe able to make appropriate use of electronic communicationProduce a document that incorporates and combines different types of informationSearch for, retrieve and store information using ICT resourcesUse on-line communications systems, including the learning management system, to obtain and send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Acquire intellectual and practical skills needed to research the law on specific matters and to analyse both statute and case law, to apply it to the solution of legal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systematic management of complex factual information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Numeracy: Collect information from primary and secondary sources selectivelyRead, select, extract and collate information from written, spoken or other appropriate sourcesEvaluate and present information in suitable formatsBe able to appreciate issues of selection, accuracy and uncertainty in the collection and analysis of information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doctrines and principles which underpin the specialised areas of law which they have chosen to study, and appreciate the social and other pressures that shape the development of the law</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a logical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Communication SkillsContribute effectively to group discussionMake a presentation Produce written materials in a variety of formats using the English language at all times with scrupulous care and accuracyIncorporate tables, charts, graphs or diagrams into documents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fundamental doctrines and principles which underpin the law of England and Wales; demonstrate a knowledge of the sources of that law, and how it is made and developed</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the capacity for abstract manipulation of complex ideas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TeamworkBe an effective and communicative member of a teamWork as part of a teamReview and evaluate progress of groups and collective performanceIdentify ways of improving the performance of groups and their own contribution to groups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LLB (Hons.) with Professional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Course programme is offered in full-time mode and leads to the award of LLB (Hons) with Professional Experience for students achieving the full 360 credits. Credits achieved for the Professional Readiness and Professional Experience modules count towards this final award but not towards degree classification. Entry is normally at level 4 with A-level or equivalent qualifications (see section D). Intake is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 Typically, a student must complete 120 credits at each level. In addition, students take the Professional Readiness and Skills module in both years 1 (Level 4) and 2 (Level 5) and choose at least one from the Professional Experience Optional modules in years 1 and 2. All students are provided with the University regulations and specific additions that are sometimes required for accreditation by outside bodies (e.g., professional or statutory bodies that confer professional accreditation). Full details of each module are provided in module descriptors and student module guides.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Optional modules listed below are delivered. However, for various reasons, such as demand, the availability of Optional modules may vary from year to year, or between teaching blocks.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LLB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with Professional Experience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Professional Experience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Constitutional and Administrative Law</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English Legal System, Skills &amp; Ethics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Contract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Law of Tort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LL4304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students to have successfully passed 120 Level 4 credits (excluding the Professional Experience elements). Although students are not required to pass all elements within a module, attendance for all timetabled activities including the Professional Readiness and Skills module and the Professional Experience modules, is required.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Law.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LLB (Hons)</w:t>
            </w:r>
            <w:r w:rsidRPr="2030048C">
              <w:rPr>
                <w:rFonts w:ascii="Arial" w:eastAsia="Arial" w:hAnsi="Arial" w:cs="Arial"/>
                <w:b/>
                <w:bCs/>
                <w:lang w:val="en-GB"/>
              </w:rPr>
              <w:t xml:space="preserve"> </w:t>
            </w:r>
            <w:r w:rsidRPr="2030048C">
              <w:rPr>
                <w:rFonts w:ascii="Arial" w:eastAsia="Arial" w:hAnsi="Arial" w:cs="Arial"/>
                <w:b/>
                <w:bCs/>
                <w:lang w:val="en-GB"/>
              </w:rPr>
              <w:t>with Professional Experience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Exploring EU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LL5301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Commercial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INTERNATIONAL AND COMPARATIVE LAW</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LL5304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students to have successfully passed 120 Level 4 credits and 120 Level 5 credits (excluding the Professional Experience elements). Although students are not required to pass all elements within a module, attendance for all timetabled activities, including the Professional Readiness and Skills module and the Professional Experience modules, is required.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Provided students have 120 credits at Level 4, then the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Law.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LLB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with Professional Experience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Equity and Trusts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LL6187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Company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Dispute Resolution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Family and Child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C"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Criminal and Human Rights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International Trade Law</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E"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Jurisprudence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F"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Law Reform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LL6604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50"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Technology, Intellectual Property and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LL6199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Capstone modules (students need to choose 1 out of 3)- LL6198 Dispute Resolution, LL6604 Law Reform Project, LL6031 Jurisprudence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Optional Modules (students need to choose 1 x 30 credit and 1 x 15 credit module)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PSRB standards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Solicitors Regulation Authority (SRA)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Bar Standards Board (BSB) accreditation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557"/>
        <w:gridCol w:w="326"/>
        <w:gridCol w:w="788"/>
        <w:gridCol w:w="788"/>
        <w:gridCol w:w="788"/>
        <w:gridCol w:w="788"/>
        <w:gridCol w:w="788"/>
        <w:gridCol w:w="788"/>
        <w:gridCol w:w="788"/>
        <w:gridCol w:w="788"/>
        <w:gridCol w:w="82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LL4306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LL5302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LL6187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multilevel"/>
    <w:tmpl w:val="74989B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d68b3152cf5d08c2f050-97c828cc9502c69ac5af7576c62d48d6.ssl.cf3.rackcdn.com/documents/user-upload/kingston-university-63963086086-kingston-university-gr5-changes.pdf"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5DE51F3-0F55-47E1-89D8-AB8F1A01172B}"/>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