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International Law</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w:t>
            </w:r>
            <w:r>
              <w:br/>
            </w:r>
            <w:r w:rsidRPr="2030048C" w:rsidR="71C545CA">
              <w:rPr>
                <w:rFonts w:ascii="Arial" w:eastAsia="Arial" w:hAnsi="Arial" w:cs="Arial"/>
                <w:b w:val="0"/>
                <w:bCs w:val="0"/>
                <w:sz w:val="24"/>
                <w:szCs w:val="24"/>
                <w:lang w:val="en-GB"/>
              </w:rPr>
              <w:t>BA (Hons) International Law</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UFLLI1LLI20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3 years full-time (code M100), 4 years sandwich (with year in industry) (code M102); 4 years full-time (with year abroad) (code M103)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 with Foundation Year in Social Sciences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 with Foundation Year in Social Sciences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International Law with Foundation Year in Social Sciences</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 with Foundation Year in Social Sciences</w:t>
            </w:r>
            <w:r>
              <w:br/>
            </w:r>
            <w:r w:rsidRPr="2030048C" w:rsidR="71C545CA">
              <w:rPr>
                <w:rFonts w:ascii="Arial" w:eastAsia="Arial" w:hAnsi="Arial" w:cs="Arial"/>
                <w:b w:val="0"/>
                <w:bCs w:val="0"/>
                <w:sz w:val="24"/>
                <w:szCs w:val="24"/>
                <w:lang w:val="en-GB"/>
              </w:rPr>
              <w:t>BA (Hons) International Law with Foundation Year in Social Sciences</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Kingston Hill /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Solicitors’ Regulatory Authority and Bar Standards Board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LLB International Law has the following general aims: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a legal education which meets the requirements of the professional bodies for recognition as a Qualifying Law Degree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develop the general transferable employability skills which graduates should be able to apply to any situation.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an introduction to the global legal arena, and to allow students to compare law in different jurisdictions.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understand the implications of areas of law that have application across the world.</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the opportunity for a period of study abroad overseas.</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LLB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the following compulsory Core modules on the Course: English Legal System, Law of Contract, Law of Tort, Public Law, Criminal Law, Law of the European Union, Land Law, and Equity and Trusts. Successful completion of these modules entitles the student to a Qualifying Law Degree (QLD).  In order to develop legal proficiency, we offer a wide range of legal specialisms in the final (Level 6) year.  These include Employment Law, International Trade Law, Company Law, Intellectual Property Law, International Criminal and Human Rights Law, Family and Child Law, Dispute Resolution, Environmental Law, and Law of Technology and Innovation.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Course also allows students to specialise in international law. At Level 5, in addition to the compulsory Core modules required for a QLD, students on the Course study International and Comparative Law as a grounding for the development of international specialisms at Level 6. These include International Criminal and Human Rights Law, Law of International Trade, Intellectual Property Law, Family and Child Law, Dispute Resolution, Environmental Law, and Employment Law. In addition, students in their final year (Level 6) of the Course undertake a dissertation, engaging in research in an area of international law.</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Students on the Course also develop transferable employability skills, which means the Course is also appropriate for those who may wish to pursue careers not only the legal sector but also in other professions, thus providing a wide range of career opportunities.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operates across three teaching blocks (Teaching Block1 October - December; Teaching Block 2 January -March; Teaching Block 3 May-July).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Teaching Block 1 (TB1) and Teaching Block 2 (TB2) focus on learning, delivery and engagement with the legal knowledge and its application required for a QLD. TB1 and TB2 for each level are made up of four modules each worth 30 credit points. Typically, a student must complete 120 credits at each level (during the first two teaching blocks).  All students are provided with the University regulations, as well as any specific additions that may be required for accreditation by outside bodies (e.g., professional, or statutory bodies that confer professional accreditation). Full details of each module are provided in module descriptors and student module guides.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TB3 focuses purely on the enhancement of the student’s employability skills, and students can do a work placement/internship.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Two defining features of the Course are: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Professional Readiness embedded in Levels 4 and 5</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Professional Experience activities in TB3 for Levels 4 and 5.</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 non-credit bearing Professional Readiness module designed to enhance students’ work-related skills is delivered across 24 weeks in TB1 and TB2 at Levels 4 and 5. </w:t>
      </w:r>
      <w:r w:rsidRPr="2030048C">
        <w:rPr>
          <w:rStyle w:val="normaltextrun"/>
          <w:rFonts w:ascii="Arial" w:hAnsi="Arial" w:cs="Arial"/>
          <w:color w:val="000000" w:themeColor="text1"/>
          <w:sz w:val="22"/>
          <w:szCs w:val="22"/>
          <w:shd w:val="clear" w:color="auto" w:fill="FFFFFF"/>
        </w:rPr>
        <w:t>The module at both levels incorporates Future Skills: through engagement with Navigate at Level 4, and through engagement with Explore at Level 5. The module introduces professional practice and ethics as well as relevant skills delivery and professional development, and</w:t>
      </w:r>
      <w:r w:rsidRPr="2030048C">
        <w:rPr>
          <w:rStyle w:val="normaltextrun"/>
          <w:rFonts w:ascii="Arial" w:hAnsi="Arial" w:cs="Arial"/>
          <w:color w:val="000000" w:themeColor="text1"/>
          <w:sz w:val="22"/>
          <w:szCs w:val="22"/>
          <w:shd w:val="clear" w:color="auto" w:fill="FFFFFF"/>
        </w:rPr>
        <w:t xml:space="preserve"> links closely with the assessment of employability skills in the Core Foundations of Legal Knowledge modules.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Professional Readiness module prepares students for professional experience activities in TB3, such as an internship. Students have the opportunity to secure an internship opportunity in TB3 at Level 4 and/or Level 5. The module also prepares students for employment on a more general level, by enabling students to apply and develop in real organisations the knowledge and skills they have learnt in the classroom, as well as enhancing the skills and attributes employers expect new recruits to possess. All placement providers are subject to due diligence and ongoing monitoring to ensure that the student experience is of a high quality, and that equality, diversity and inclusion standards are met. This applies equally to placement providers based overseas.</w:t>
      </w:r>
    </w:p>
    <w:p w:rsidRPr="2030048C" w:rsidP="2030048C">
      <w:pPr>
        <w:pStyle w:val="MediumGrid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In addition to a work placement or internship, students also have the option of studying abroad or working for a year between Levels 5 and 6. Students who attend a period of study abroad gain a great deal from the experience, particularly regarding different cultures and living in a different country. Students who do a year-long work placement gain invaluable experience, as well as the opportunity of developing employability skills, as well as having the opportunity to explore careers they may be interested in pursuing after graduation.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Briefing sessions on the options available to students during TB3, are given during Levels 4 and 5.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This intensive and innovative Course aims to provide students, and graduates, with the self-determination they need to reach their goals, and the knowledge and skills that will serve them well in the future. S</w:t>
      </w:r>
      <w:r w:rsidRPr="2030048C">
        <w:rPr>
          <w:rStyle w:val="normaltextrun"/>
          <w:rFonts w:ascii="Arial" w:hAnsi="Arial" w:cs="Arial"/>
          <w:color w:val="000000" w:themeColor="text1"/>
          <w:sz w:val="22"/>
          <w:szCs w:val="22"/>
          <w:shd w:val="clear" w:color="auto" w:fill="FFFFFF"/>
        </w:rPr>
        <w:t xml:space="preserve">tudents are encouraged to have high aspirations, in line with high expectations of them on the LLB programme. 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give students the best platform for securing employment, there is also a wide range of opportunities for students to become involved in real-world learning, through co-curricular and extra-curricular activities.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On completion of the LLB programme, Kingston Law School graduates will demonstrate not only legal knowledge, but also self-confidence, self-determination, flexibility, and inter-personal skills.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location of Kingston University means students enjoy easy access to central London, and important legal institutions, such as the Supreme Court of England and Wales, the Houses of Parliament, the Royal Courts of Justice, and the Old Bailey, which are nine miles away. Kingston-upon-Thames is an ancient settlement dating back to the Anglo-Saxon period and kings were once crowned here. In modern times, it has developed into a vibrant shopping and entertainment hub, as well as being the seat of Kingston University.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 demonstrate a knowledge of the institutions within which that law is administered and the personnel who practise that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 TeamworkBe an effective and communicative member of a teamWork as part of a teamReview and evaluate progress of groups and collective performanceIdentify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an appreciation of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 Communication SkillsContribute effectively to group discussionMake an oral presentation and be able participate in mooting scenariosRead, select, extract and collate information from written, spoken or other appropriate sourcesProduce written materials in a variety of formats using the English language at all times with scrupulous care and accuracyIncorporate in documents either tables, charts, graphs or diagramsBe able to make appropriate use of electronic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 and to communicate - both in writing and orally - the results of such work. Students on the American programme will have demonstrated an ability to succeed in a year of academic study in the United States of America. Students on the 4 Year Study Abroad Programme variant will have demonstrated an ability to succeed in a year of academic study in one of the countries in which the university 4 Year Programme operates.Students on the Work Placement variant will have demonstrated their ability to operate effectively in a working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intelligent critical reading of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 NumeracyCollect data from primary and secondary sources selectivelyEvaluate and present data in suitable formatsRecord data in an appropriate formatBe able to appreciate  issues of selection, accuracy and uncertainty in the collection and analysis of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 Information, Communication and TechnologyUse ICT to present text/numerical data and imagesProduce a document that incorporates and combines different types of informationSearch for, retrieve and store information using ICT resourcesUse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LLB (Hons.) with Professional Experience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This Course programme is offered in full-time mode and leads to the award of LLB (Hons) International Law with Professional Experience for students achieving the full 360 credits. Credits achieved for the Professional Readiness and Professional Experience modules count towards this final award but not towards degree classification. Entry is normally at level 4 with A-level or equivalent qualifications (see section D). Intake is in September.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 xml:space="preserve">C1.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Each level is made up of four modules, each worth 30 credit points. Typically, a student must complete 120 credits at each level. In addition, students take the Professional Readiness and Skills module in both years 1 (Level 4) and 2 (Level 5). All students are provided with the University regulations and specific additions that are sometimes required for accreditation by outside bodies (e.g., professional, or statutory bodies that confer professional accreditation). Full details of each module are provided in module descriptors and student module guides.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specification of the Foundation Year in Social Science is available separately within the CMS.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1"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Optional modules listed below are delivered. However, for various reasons, such as demand, the availability of Optional modules may vary from year to year, or between teaching blocks.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students to have successfully passed 120 Level 4 credits (excluding the Professional Experience elements). Although students are not required to pass all elements within a module, attendance for all timetabled activities </w:t>
      </w:r>
      <w:r w:rsidRPr="2030048C">
        <w:rPr>
          <w:rStyle w:val="normaltextrun"/>
          <w:rFonts w:ascii="Arial" w:eastAsia="Arial" w:hAnsi="Arial" w:cs="Arial"/>
          <w:color w:val="000000" w:themeColor="text1" w:themeShade="FF" w:themeTint="FF"/>
          <w:sz w:val="24"/>
          <w:szCs w:val="24"/>
        </w:rPr>
        <w:t>including the Professional Readiness and Skills module is required.</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Law.</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International Law</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6 requires students to have successfully passed 120 Level 4 credits and 120 Level 5 credits (excluding the Professional Experience elements). Although students are not required to pass all elements within a module, attendance for all timetabled activities</w:t>
      </w:r>
      <w:r w:rsidRPr="2030048C">
        <w:rPr>
          <w:rStyle w:val="normaltextrun"/>
          <w:rFonts w:ascii="Arial" w:eastAsia="Arial" w:hAnsi="Arial" w:cs="Arial"/>
          <w:color w:val="FF0000"/>
          <w:sz w:val="22"/>
          <w:szCs w:val="22"/>
        </w:rPr>
        <w:t xml:space="preserve">, </w:t>
      </w:r>
      <w:r w:rsidRPr="2030048C">
        <w:rPr>
          <w:rStyle w:val="normaltextrun"/>
          <w:rFonts w:ascii="Arial" w:eastAsia="Arial" w:hAnsi="Arial" w:cs="Arial"/>
          <w:color w:val="000000" w:themeColor="text1" w:themeShade="FF" w:themeTint="FF"/>
          <w:sz w:val="22"/>
          <w:szCs w:val="22"/>
        </w:rPr>
        <w:t>including the Professional Readiness and Skills module and the Professional Experience modules, is required.</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Provided students have 120 credits at Level 4, then the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at Level 5 or above are eligible for the award of Diploma of Higher Education in Law</w:t>
      </w:r>
      <w:r w:rsidRPr="2030048C">
        <w:rPr>
          <w:rStyle w:val="normaltextrun"/>
          <w:rFonts w:ascii="Arial" w:eastAsia="Arial" w:hAnsi="Arial" w:cs="Arial"/>
          <w:i/>
          <w:iCs/>
          <w:color w:val="000000" w:themeColor="text1" w:themeShade="FF" w:themeTint="FF"/>
          <w:sz w:val="22"/>
          <w:szCs w:val="22"/>
        </w:rPr>
        <w: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Law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Trade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Level 6 requires students to have successfully passed 120 Level 6 credits (to include a 30 credit Capstone module and 60 credits of Optional modules). Capstone modules are intended to allow students to synthesise and apply what they have learned on the Course. The modules are designed to help students reflect on the knowledge and skills they have acquired during their degree and learning how to present them to a wider audience, including future employers.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pass 120 credits of their taught modules (excluding the Professional Experience elements) at each of Levels 4 and 5</w:t>
      </w:r>
      <w:r w:rsidRPr="2030048C">
        <w:rPr>
          <w:rStyle w:val="normaltextrun"/>
          <w:rFonts w:ascii="Arial" w:eastAsia="Arial" w:hAnsi="Arial" w:cs="Arial"/>
          <w:color w:val="FF0000"/>
          <w:sz w:val="22"/>
          <w:szCs w:val="22"/>
        </w:rPr>
        <w:t xml:space="preserve">, </w:t>
      </w:r>
      <w:r w:rsidRPr="2030048C">
        <w:rPr>
          <w:rStyle w:val="normaltextrun"/>
          <w:rFonts w:ascii="Arial" w:eastAsia="Arial" w:hAnsi="Arial" w:cs="Arial"/>
          <w:color w:val="000000" w:themeColor="text1" w:themeShade="FF" w:themeTint="FF"/>
          <w:sz w:val="22"/>
          <w:szCs w:val="22"/>
        </w:rPr>
        <w:t>and at least 60 credits at Level 6 may be awarded a Pass (Ordinary/Non-Honours) degree. Students who do not pass the Professional Experience elements but achieve 360 credits in all of their taught modules will be eligible for an LLB (Hons).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 with Foundation Year in Social Sciences</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25"/>
        <w:gridCol w:w="277"/>
        <w:gridCol w:w="1"/>
        <w:gridCol w:w="670"/>
        <w:gridCol w:w="1"/>
        <w:gridCol w:w="670"/>
        <w:gridCol w:w="1"/>
        <w:gridCol w:w="670"/>
        <w:gridCol w:w="1"/>
        <w:gridCol w:w="670"/>
        <w:gridCol w:w="1"/>
        <w:gridCol w:w="670"/>
        <w:gridCol w:w="1"/>
        <w:gridCol w:w="670"/>
        <w:gridCol w:w="1"/>
        <w:gridCol w:w="670"/>
        <w:gridCol w:w="1"/>
        <w:gridCol w:w="669"/>
        <w:gridCol w:w="1"/>
        <w:gridCol w:w="1"/>
        <w:gridCol w:w="670"/>
        <w:gridCol w:w="1"/>
        <w:gridCol w:w="670"/>
        <w:gridCol w:w="1"/>
        <w:gridCol w:w="69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Table">
    <w:name w:val="Table"/>
    <w:basedOn w:val="TableNormal"/>
    <w:tblPr/>
  </w:style>
  <w:style w:type="paragraph" w:customStyle="1" w:styleId="MediumGrid1-Accent21">
    <w:name w:val="MediumGrid1-Accent21"/>
    <w:basedOn w:val="ListParagraph"/>
  </w:style>
  <w:style w:type="paragraph" w:customStyle="1" w:styleId="MediumGrid21">
    <w:name w:val="MediumGrid2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4837DC0-943B-419C-B4D5-B2DB5D8C5B1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