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Year One</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 International Study Centre (“KULISC”) – Study Group</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International Year One</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UFSTG1BAM95</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 International Study Centre (“KULISC”) – Study Group</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Study Group</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Details of minimum international entry qualifications and qualification equivalencies are provided on a separate spreadsheet maintained by both the validated partner and the university.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entry to the programme, students must meet English language entry conditions of Academic IELTS for UKVI 5.5 overall (minimum 5.5 in all skills).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This programme is designed for students seeking progression with advanced standing to Kingston University’s BSc (Hons) Business Management, a practical, general business degree that includes integrated employability skills development and professional membership within the standard three years of a normal UK degree.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International Year One programme consists of 2 key streams.</w:t>
      </w:r>
    </w:p>
    <w:p w:rsidRPr="2030048C" w:rsidP="2030048C">
      <w:pPr>
        <w:pStyle w:val="ListParagraph"/>
        <w:ind w:left="39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An academic programme bearing 120 FHEQ Level 4 credits designed to reach the learning outcomes required for students to move onto Level 5 of the BSc (Hons) Business Management with Business Experience.</w:t>
      </w:r>
    </w:p>
    <w:p w:rsidRPr="2030048C" w:rsidP="2030048C">
      <w:pPr>
        <w:pStyle w:val="ListParagraph"/>
        <w:ind w:left="39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An English language programme designed to develop English language skills as well as appropriate study skills and independent learning techniques over the  course.</w:t>
      </w:r>
    </w:p>
    <w:p w:rsidRPr="2030048C" w:rsidP="2030048C">
      <w:pPr>
        <w:pStyle w:val="ListParagraph"/>
        <w:ind w:left="3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academic programme will be delivered over five modules, four of which are bearing 30 credits (120 credits in total) and one non-credit bearing module (i Academic English Skills).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modules cover course content and learning outcomes equivalent to Level 4 of the BSc (Hons) Business Management, with additional English language development:</w:t>
      </w:r>
    </w:p>
    <w:p w:rsidRPr="2030048C" w:rsidP="2030048C">
      <w:pPr>
        <w:pStyle w:val="ListParagraphCxSpFirst"/>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Data and Technology in Business</w:t>
      </w:r>
    </w:p>
    <w:p w:rsidRPr="2030048C" w:rsidP="2030048C">
      <w:pPr>
        <w:pStyle w:val="ListParagraphCxSpMiddle"/>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Global Business Environments</w:t>
      </w:r>
    </w:p>
    <w:p w:rsidRPr="2030048C" w:rsidP="2030048C">
      <w:pPr>
        <w:pStyle w:val="ListParagraphCxSpMiddle"/>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Organisations &amp; People</w:t>
      </w:r>
    </w:p>
    <w:p w:rsidRPr="2030048C" w:rsidP="2030048C">
      <w:pPr>
        <w:pStyle w:val="ListParagraphCxSpMiddle"/>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Marketing &amp; Sales</w:t>
      </w:r>
    </w:p>
    <w:p w:rsidRPr="2030048C" w:rsidP="2030048C">
      <w:pPr>
        <w:pStyle w:val="ListParagraphCxSpMiddle"/>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           Academic English Skills (AES)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During the programme students study the general global business environment with a contextual Economics module and Organisational Behaviour, Marketing and Statistics modules, as well as engaging with a range of degree-relevant professional and personal skills development sessions.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At this level, students are expected to be able to describe and structure business problems. The first-year modules prepare students for the broader and deeper study of the key management functions in their second year. At this level, students develop their critical thinking skills, allowing them to propose solutions to business issues while developing entrepreneurial thinking, and their knowledge of the management of human and financial resources, projects and operations. Further skills development and preparation for the business experience will also take place, making students business-ready and enabling them to choose from the options available to hone their skills in practice.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All students will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their professional competencies and ensure they develop their employability skills, so they are ready for the world of work. Students will develop a portfolio of competencies, skills and reflections on progress and strengths, that can be used for discussions with and decision about their future career and their placement options.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Further skills development and preparation for Guided Independent Study will also take place, making students more self-reliant and taking responsibility for acquiring independent learning skills which will help them subsequently.</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overall aims are to provide students with the required level of subject knowledge and to enable them to develop the English language and study skills to become successful and fully engaged within an HE context in the UK.</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Curricular and extra-curricular activities within the programme are aligned to ensure that the student learning experience encompasses three main areas of personal development:</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4"/>
          <w:szCs w:val="24"/>
          <w:shd w:val="clear" w:color="auto" w:fill="FFFFFF"/>
        </w:rPr>
        <w:t>Participation</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aim is that students understand what it means to participate within a UK University environment both academically and socially.</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4"/>
          <w:szCs w:val="24"/>
          <w:shd w:val="clear" w:color="auto" w:fill="FFFFFF"/>
        </w:rPr>
        <w:t>Self -Directed Learning</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aim is that students are able to organise their time and use resources to achieve the learning outcomes of their programme.</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4"/>
          <w:szCs w:val="24"/>
          <w:shd w:val="clear" w:color="auto" w:fill="FFFFFF"/>
        </w:rPr>
        <w:t>Academic Skills</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aim is that students are able to understand different levels of knowledge and develop their academic skills during the programme</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4"/>
          <w:szCs w:val="24"/>
          <w:shd w:val="clear" w:color="auto" w:fill="FFFFFF"/>
        </w:rPr>
        <w:t>Guided Independent Study</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main aims of this programme are to develop the following essential background and academic skills, for the BSc degree programme:</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r w:rsidRPr="2030048C">
        <w:rPr>
          <w:rStyle w:val="normaltextrun"/>
          <w:rFonts w:ascii="Arial" w:hAnsi="Arial" w:cs="Arial"/>
          <w:color w:val="000000"/>
          <w:sz w:val="24"/>
          <w:szCs w:val="24"/>
          <w:shd w:val="clear" w:color="auto" w:fill="FFFFFF"/>
        </w:rPr>
        <w:t xml:space="preserve">Introduce students to core elements of business and management. Begin to develop in students the intellectual skills necessary to contribute to effective business practice </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Ensure students can u</w:t>
      </w:r>
      <w:r w:rsidRPr="2030048C">
        <w:rPr>
          <w:rStyle w:val="normaltextrun"/>
          <w:rFonts w:ascii="Arial" w:hAnsi="Arial" w:cs="Arial"/>
          <w:color w:val="252A2F"/>
          <w:sz w:val="24"/>
          <w:szCs w:val="24"/>
          <w:shd w:val="clear" w:color="auto" w:fill="FFFFFF"/>
        </w:rPr>
        <w:t>se a range of IT tools effectively to access information from a range of sources and evaluate its validity</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Equip students with relevant academic skills and an appropriate degree of proficiency in spoken and written English in the Business context </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252A2F"/>
          <w:sz w:val="24"/>
          <w:szCs w:val="24"/>
          <w:shd w:val="clear" w:color="auto" w:fill="FFFFFF"/>
        </w:rPr>
        <w:t>Make students aware of contemporary issues in business and management, such as organisational behaviour, ethics and marketing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global business environment, in relation to business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relevant theory and apply to real-world business examples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justify structured and coherent arguments providing evidence of the ability to interpret different assumptions and perspectives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key functional business areas, including:marketing conceptsstatistics and information systemsbusiness economicsorganisational behaviour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business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IT tools effectively to access business information and data from a range of sources and evaluate its validity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demonstrate the use of current methods and techniques to analyse data in business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and appraise business information to solve business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Think independently and interact effectively within a group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issues relating to the management of business, together with the social environment within which businesses operate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This is a full-time programme leading to progression to Level 5 of the BSc (Hons) Business Management.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 IY1 is made up of four modules each worth 30 credits plus Academic English Skills (AES) which is non-credit bearing. Thus, a student must complete 120 credits at Level 4, plus AES.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All students will be provided with the University regulations during the induction period. These detail the processes and procedures in place to ensure all students are treated equally and fairly.  Full details of each module are provided in module descriptors and student module guides. These will be made available on the Virtual Learning Environment (VLE).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Level 4/Year 1: All modules are core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International Year One</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International Year One</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XS4208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International Year One Academic English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Exit Awards at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Progression to Level 5 requires all Level 4 credit-bearing modules to be passed at the pass mark of 40%, and in the case of Academic English Skills, students are required to achieve overall 60% and minimum of 50% in all skills.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At KULISC and Kingston University we are “Led by Learning” in all that we do, and we believe our graduates should be able to contribute at the highest level in the real world. Our approach to teaching, learning and assessment supports this by encouraging and supporting students to grow from being “fed facts” to developing knowledge, understanding and critical skills through exploration of subjects that interest them.</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also makes extensive use of technology to enhance learning. There are pre-class presentation videos; computer-based student forums where students can discuss and post queries to their cohort to aid peer learning opportunities; computer-based quizzes to provide both summative and formative feedback; an introduction to the Sage accounting package for recording transactions and producing financial statements; and students are encouraged at all levels of study to use spreadsheets.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VLE has a key role to play in the development and support of teaching, learning and assessment, including helping to facilitate a more independent approach to learning by students.  Kingston University International Study Centre (“KULISC”) aims to implement Study Group’s own VLE framework, which is itself based on the Quality Assurance Agency for Higher Education’s Quality Code (QAA, 2014), aimed at enhancing students’ learning experience on the VLE. This will be achieved through making available appropriate learning resources, enabling students to develop the skills to use them as well as developing their own digital literacy.  The KULISC VLE, built in line with Kingston University’s Academic Framework and VLE minimum expectations, will ensure that each teaching session/lecture is supported by a wide range of learning and assessment resources which can be easily accessed by students.  As well as improved accessibility, the VLE will encourage higher levels of engagement with the learning process through the use of a range of activities, including </w:t>
      </w:r>
      <w:r w:rsidRPr="2030048C">
        <w:rPr>
          <w:rFonts w:ascii="Arial" w:eastAsia="Arial" w:hAnsi="Arial" w:cs="Arial"/>
          <w:color w:val="000000"/>
          <w:sz w:val="24"/>
          <w:szCs w:val="24"/>
          <w:shd w:val="clear" w:color="auto" w:fill="FFFFFF"/>
        </w:rPr>
        <w:t xml:space="preserve">online tests and quizzes, videos and podcasts. </w:t>
      </w:r>
      <w:r w:rsidRPr="2030048C">
        <w:rPr>
          <w:rFonts w:ascii="Arial" w:eastAsia="Arial" w:hAnsi="Arial" w:cs="Arial"/>
          <w:sz w:val="24"/>
          <w:szCs w:val="24"/>
        </w:rPr>
        <w:t>It will also enable students to interact and collaborate with their tutors as well as each other by opening up a range of channels for effective and efficient communication through group messages, announcements, forums, conferences and direct messaging.  The KULISC VLE will be further enhanced by a Peer Review system aimed at enabling the achievement of Level 2 on the VLE framework.</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Our rich and inclusive curriculum is continually reviewed in consultation with our students and Faculty to take account of new developments, seeking to keep the programme exciting and lively. A range of methods are used to actively engage students, including problem solving and enquiry-based learning, industry research and peer-assisted learning. Formative assessment develops key aims during the progress of a module.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Exams (which may include progress testing of core knowledge) seek to assess the depth and range of student understanding.  Presentation skills and group learning are developed throughout the programme to emulate the real-world situations in which our students may find themselves.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use of group work develops the essential skills of working with others (a key feature of the Organisational Behaviour module) and thus replicates business practice of collaborative teamwork.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Personal Tutors/Academic Progression Mentors are assigned to each student and remain with the student throughout their time on the course. The KULISC Academic Progression Mentors handover to their counterparts at Kingston University when the student’s progress to Level 5 to ensure continuity with the Personal Tutor Scheme. To further support students, all personal tutors/academic mentors are advised of the nature and timing of the assessments for each module, enabling them to identify and discuss areas of strength and weakness in each individual student’s skills and knowledge set.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Feedback received and discussed in year one will feed forward into year two, and subsequently into the final year, further enabling tutors/mentors to direct tutees to appropriate sources of support, guidance and development. Personal tutors/mentors and the Kingston University’s Business &amp; Professional Experience Team will also be able to support students in discussions around their potential or preferred specialism in the Second Year.</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rsidRPr="2030048C" w:rsidP="2030048C">
      <w:pPr>
        <w:ind w:left="360"/>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is delivered through:</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Tutor-led classroom sessions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Small group tutorials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Formal lectures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Group work</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Presentations, debates and discussions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Project work</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Guided Independent Study</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Mentoring sessions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 xml:space="preserve">Career and Employability Workshops </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Recognition is given to the fact that students have come to the ISC from a wide range of academic and cultural backgrounds worldwide. Throughout their studies on the International Year One Programme, from the Induction Programme onwards, significant emphasis is placed on the importance of explaining to students the style and strengths of the British approach to teaching and learning as key elements in their academic acculturation.</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pStyle w:val="ListParagraph0"/>
        <w:jc w:val="both"/>
        <w:rPr>
          <w:rFonts w:ascii="Arial" w:eastAsia="Arial" w:hAnsi="Arial" w:cs="Arial"/>
          <w:sz w:val="24"/>
          <w:szCs w:val="24"/>
        </w:rPr>
      </w:pPr>
      <w:r w:rsidRPr="2030048C">
        <w:rPr>
          <w:rFonts w:ascii="Arial" w:eastAsia="Arial" w:hAnsi="Arial" w:cs="Arial"/>
          <w:b/>
          <w:bCs/>
          <w:sz w:val="24"/>
          <w:szCs w:val="24"/>
        </w:rPr>
        <w:t xml:space="preserve">1) Academic Mentoring Sessions/Career Ahead: </w:t>
      </w:r>
      <w:r w:rsidRPr="2030048C">
        <w:rPr>
          <w:rFonts w:ascii="Arial" w:eastAsia="Arial" w:hAnsi="Arial" w:cs="Arial"/>
          <w:color w:val="000000"/>
          <w:sz w:val="24"/>
          <w:szCs w:val="24"/>
          <w:shd w:val="clear" w:color="auto" w:fill="FFFFFF"/>
        </w:rPr>
        <w:t xml:space="preserve">This is a compulsory one-hour session offered per week on a weekly basis for all International Year 1 students. It is run as part of the KULISC Academic Progression Mentoring Scheme whereby a KULISC Tutor will empower students through mentoring to make choices that positively enhance their own wellbeing, academic progression and personal development, now and for the future. Embedded within the Scheme is a service called Career Ahead, </w:t>
      </w:r>
      <w:r w:rsidRPr="2030048C">
        <w:rPr>
          <w:rFonts w:ascii="Arial" w:eastAsia="Arial" w:hAnsi="Arial" w:cs="Arial"/>
          <w:sz w:val="24"/>
          <w:szCs w:val="24"/>
        </w:rPr>
        <w:t xml:space="preserve">supporting students to develop valuable employment skills. </w:t>
      </w:r>
    </w:p>
    <w:p w:rsidRPr="2030048C" w:rsidP="2030048C">
      <w:pPr>
        <w:jc w:val="both"/>
        <w:rPr>
          <w:rFonts w:ascii="Arial" w:eastAsia="Arial" w:hAnsi="Arial" w:cs="Arial"/>
          <w:sz w:val="24"/>
          <w:szCs w:val="24"/>
        </w:rPr>
      </w:pPr>
      <w:r w:rsidRPr="2030048C">
        <w:rPr>
          <w:rFonts w:ascii="Arial" w:eastAsia="Arial" w:hAnsi="Arial" w:cs="Arial"/>
          <w:sz w:val="24"/>
          <w:szCs w:val="24"/>
        </w:rPr>
        <w:t>Career Ahead activities include:</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Keeping a reflective diary;</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Completing a bespoke skills review, identifying personal strengths and areas for development;</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Writing a personal development plan.</w:t>
      </w:r>
    </w:p>
    <w:p w:rsidRPr="2030048C" w:rsidP="2030048C">
      <w:pPr>
        <w:jc w:val="both"/>
        <w:rPr>
          <w:rFonts w:ascii="Arial" w:eastAsia="Arial" w:hAnsi="Arial" w:cs="Arial"/>
          <w:sz w:val="24"/>
          <w:szCs w:val="24"/>
        </w:rPr>
      </w:pPr>
      <w:r w:rsidRPr="2030048C">
        <w:rPr>
          <w:rFonts w:ascii="Arial" w:eastAsia="Arial" w:hAnsi="Arial" w:cs="Arial"/>
          <w:sz w:val="24"/>
          <w:szCs w:val="24"/>
        </w:rPr>
        <w:t>Through Career Ahead activities, students will:</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Demonstrate self-awareness and personal skills development;</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Acquire knowledge about the ‘world of work’</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Undertake self-reflection and take action to improve;</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Develop an awareness of the need to take responsibility for their own future.</w:t>
      </w:r>
    </w:p>
    <w:p w:rsidRPr="2030048C" w:rsidP="2030048C">
      <w:pPr>
        <w:pStyle w:val="ListParagraphCxSpFirst"/>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ListParagraphCxSpLast"/>
        <w:jc w:val="both"/>
        <w:rPr>
          <w:rFonts w:ascii="Arial" w:eastAsia="Arial" w:hAnsi="Arial" w:cs="Arial"/>
          <w:sz w:val="24"/>
          <w:szCs w:val="24"/>
        </w:rPr>
      </w:pPr>
      <w:r w:rsidRPr="2030048C">
        <w:rPr>
          <w:rFonts w:ascii="Arial" w:eastAsia="Arial" w:hAnsi="Arial" w:cs="Arial"/>
          <w:color w:val="000000"/>
          <w:sz w:val="24"/>
          <w:szCs w:val="24"/>
          <w:shd w:val="clear" w:color="auto" w:fill="FFFFFF"/>
        </w:rPr>
        <w:t xml:space="preserve">The Academic Progression Mentoring Scheme (and Career Ahead) does not contribute to the assessment of the International Year One Programme </w:t>
      </w:r>
      <w:r w:rsidRPr="2030048C">
        <w:rPr>
          <w:rFonts w:ascii="Arial" w:eastAsia="Arial" w:hAnsi="Arial" w:cs="Arial"/>
          <w:sz w:val="24"/>
          <w:szCs w:val="24"/>
        </w:rPr>
        <w:t>and compliments the Business Readiness module, rather than duplicates</w:t>
      </w:r>
      <w:r w:rsidRPr="2030048C">
        <w:rPr>
          <w:rFonts w:ascii="Arial" w:eastAsia="Arial" w:hAnsi="Arial" w:cs="Arial"/>
          <w:color w:val="000000"/>
          <w:sz w:val="24"/>
          <w:szCs w:val="24"/>
          <w:shd w:val="clear" w:color="auto" w:fill="FFFFFF"/>
        </w:rPr>
        <w:t>. This session is based on the rationale of providing all International Year One students with academic, employability and/or social support and guidance during their studies. The mentor and mentees are to work together to build positive relationships and fundamentally student success at International Year One.</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2) Library: </w:t>
      </w:r>
      <w:r w:rsidRPr="2030048C">
        <w:rPr>
          <w:rFonts w:ascii="Arial" w:eastAsia="Arial" w:hAnsi="Arial" w:cs="Arial"/>
          <w:sz w:val="24"/>
          <w:szCs w:val="24"/>
        </w:rPr>
        <w:t>The students will also be provided with a small library/resources area in ISC, where a limited range of texts and specialist journals will be available to them. They will, additionally,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rsidRPr="2030048C" w:rsidP="2030048C">
      <w:pPr>
        <w:jc w:val="both"/>
        <w:rPr>
          <w:rFonts w:ascii="Arial" w:eastAsia="Arial" w:hAnsi="Arial" w:cs="Arial"/>
          <w:sz w:val="24"/>
          <w:szCs w:val="24"/>
        </w:rPr>
      </w:pPr>
      <w:r w:rsidRPr="2030048C">
        <w:rPr>
          <w:rFonts w:ascii="Arial" w:eastAsia="Arial" w:hAnsi="Arial" w:cs="Arial"/>
          <w:b/>
          <w:bCs/>
          <w:sz w:val="24"/>
          <w:szCs w:val="24"/>
        </w:rPr>
        <w:t>3) Extended writing:</w:t>
      </w:r>
      <w:r w:rsidRPr="2030048C">
        <w:rPr>
          <w:rFonts w:ascii="Arial" w:eastAsia="Arial" w:hAnsi="Arial" w:cs="Arial"/>
          <w:sz w:val="24"/>
          <w:szCs w:val="24"/>
        </w:rPr>
        <w:t xml:space="preserve"> Through the extended writing in the modules, students will also be able to develop their writing and presentational skills.  IT skills will be provided to enable them not only to make use of the Internet for their research, but also to be able, when on their University degree programmes, to word process their assignments. These aspects of their studies will also be used to reinforce the importance of referencing written work and providing a full bibliography. The plagiarism issue will also be addressed in this context.</w:t>
      </w:r>
    </w:p>
    <w:p w:rsidRPr="2030048C" w:rsidP="2030048C">
      <w:pPr>
        <w:jc w:val="both"/>
        <w:rPr>
          <w:rFonts w:ascii="Arial" w:eastAsia="Arial" w:hAnsi="Arial" w:cs="Arial"/>
          <w:sz w:val="24"/>
          <w:szCs w:val="24"/>
        </w:rPr>
      </w:pPr>
      <w:r w:rsidRPr="2030048C">
        <w:rPr>
          <w:rFonts w:ascii="Arial" w:eastAsia="Arial" w:hAnsi="Arial" w:cs="Arial"/>
          <w:b/>
          <w:bCs/>
          <w:sz w:val="24"/>
          <w:szCs w:val="24"/>
        </w:rPr>
        <w:t>4) Student Progression and Wellbeing Team:</w:t>
      </w:r>
      <w:r w:rsidRPr="2030048C">
        <w:rPr>
          <w:rFonts w:ascii="Arial" w:eastAsia="Arial" w:hAnsi="Arial" w:cs="Arial"/>
          <w:sz w:val="24"/>
          <w:szCs w:val="24"/>
        </w:rPr>
        <w:t xml:space="preserve"> The ISC has designated wellbeing and safeguarding staff will also provide support to students who need guidance on non-academic matters.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jc w:val="both"/>
        <w:rPr>
          <w:rFonts w:ascii="Arial" w:eastAsia="Arial" w:hAnsi="Arial" w:cs="Arial"/>
          <w:sz w:val="24"/>
          <w:szCs w:val="24"/>
        </w:rPr>
      </w:pPr>
      <w:r w:rsidRPr="2030048C">
        <w:rPr>
          <w:rFonts w:ascii="Arial" w:eastAsia="Arial" w:hAnsi="Arial" w:cs="Arial"/>
          <w:sz w:val="24"/>
          <w:szCs w:val="24"/>
        </w:rPr>
        <w:t>KULISC has several methods for evaluating and improving the quality and standards of its provision.  These include:</w:t>
      </w:r>
    </w:p>
    <w:p w:rsidR="3D0EBCB8" w:rsidRPr="2030048C" w:rsidP="2030048C">
      <w:pPr>
        <w:numPr>
          <w:ilvl w:val="0"/>
          <w:numId w:val="21"/>
        </w:numPr>
        <w:ind w:left="570" w:hanging="360"/>
        <w:jc w:val="both"/>
        <w:rPr>
          <w:rFonts w:ascii="Arial" w:eastAsia="Arial" w:hAnsi="Arial" w:cs="Arial"/>
          <w:sz w:val="24"/>
          <w:szCs w:val="24"/>
        </w:rPr>
      </w:pPr>
      <w:r w:rsidRPr="2030048C">
        <w:rPr>
          <w:rFonts w:ascii="Arial" w:eastAsia="Arial" w:hAnsi="Arial" w:cs="Arial"/>
          <w:sz w:val="24"/>
          <w:szCs w:val="24"/>
        </w:rPr>
        <w:t>External examiners – individual experts from another institution who assess the quality and comparability of our standards to those of other institutions</w:t>
      </w:r>
    </w:p>
    <w:p w:rsidR="3D0EBCB8" w:rsidRPr="2030048C" w:rsidP="2030048C">
      <w:pPr>
        <w:numPr>
          <w:ilvl w:val="0"/>
          <w:numId w:val="21"/>
        </w:numPr>
        <w:ind w:left="570" w:hanging="360"/>
        <w:jc w:val="both"/>
        <w:rPr>
          <w:rFonts w:ascii="Arial" w:eastAsia="Arial" w:hAnsi="Arial" w:cs="Arial"/>
          <w:sz w:val="24"/>
          <w:szCs w:val="24"/>
        </w:rPr>
      </w:pPr>
      <w:r w:rsidRPr="2030048C">
        <w:rPr>
          <w:rFonts w:ascii="Arial" w:eastAsia="Arial" w:hAnsi="Arial" w:cs="Arial"/>
          <w:sz w:val="24"/>
          <w:szCs w:val="24"/>
        </w:rPr>
        <w:t>Quality Assurance and Enhancement Committee/Boards of Study with student representation</w:t>
      </w:r>
    </w:p>
    <w:p w:rsidR="3D0EBCB8" w:rsidRPr="2030048C" w:rsidP="2030048C">
      <w:pPr>
        <w:numPr>
          <w:ilvl w:val="0"/>
          <w:numId w:val="21"/>
        </w:numPr>
        <w:ind w:left="570" w:hanging="360"/>
        <w:jc w:val="both"/>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1"/>
        </w:numPr>
        <w:ind w:left="570" w:hanging="360"/>
        <w:jc w:val="both"/>
        <w:rPr>
          <w:rFonts w:ascii="Arial" w:eastAsia="Arial" w:hAnsi="Arial" w:cs="Arial"/>
          <w:sz w:val="24"/>
          <w:szCs w:val="24"/>
        </w:rPr>
      </w:pPr>
      <w:r w:rsidRPr="2030048C">
        <w:rPr>
          <w:rFonts w:ascii="Arial" w:eastAsia="Arial" w:hAnsi="Arial" w:cs="Arial"/>
          <w:sz w:val="24"/>
          <w:szCs w:val="24"/>
        </w:rPr>
        <w:t>Periodic review undertaken at subject level with student involvement</w:t>
      </w:r>
    </w:p>
    <w:p w:rsidR="3D0EBCB8" w:rsidRPr="2030048C" w:rsidP="2030048C">
      <w:pPr>
        <w:numPr>
          <w:ilvl w:val="0"/>
          <w:numId w:val="21"/>
        </w:numPr>
        <w:ind w:left="570" w:hanging="360"/>
        <w:jc w:val="both"/>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21"/>
        </w:numPr>
        <w:ind w:left="570" w:hanging="360"/>
        <w:jc w:val="both"/>
        <w:rPr>
          <w:rFonts w:ascii="Arial" w:eastAsia="Arial" w:hAnsi="Arial" w:cs="Arial"/>
          <w:sz w:val="24"/>
          <w:szCs w:val="24"/>
        </w:rPr>
      </w:pPr>
      <w:r w:rsidRPr="2030048C">
        <w:rPr>
          <w:rFonts w:ascii="Arial" w:eastAsia="Arial" w:hAnsi="Arial" w:cs="Arial"/>
          <w:sz w:val="24"/>
          <w:szCs w:val="24"/>
        </w:rPr>
        <w:t>Moderation policies which ensure marking is fair and consistent</w:t>
      </w:r>
    </w:p>
    <w:p w:rsidR="3D0EBCB8" w:rsidRPr="2030048C" w:rsidP="2030048C">
      <w:pPr>
        <w:numPr>
          <w:ilvl w:val="0"/>
          <w:numId w:val="21"/>
        </w:numPr>
        <w:ind w:left="570" w:hanging="360"/>
        <w:jc w:val="both"/>
        <w:rPr>
          <w:rFonts w:ascii="Arial" w:eastAsia="Arial" w:hAnsi="Arial" w:cs="Arial"/>
          <w:sz w:val="24"/>
          <w:szCs w:val="24"/>
        </w:rPr>
      </w:pPr>
      <w:r w:rsidRPr="2030048C">
        <w:rPr>
          <w:rFonts w:ascii="Arial" w:eastAsia="Arial" w:hAnsi="Arial" w:cs="Arial"/>
          <w:sz w:val="24"/>
          <w:szCs w:val="24"/>
        </w:rPr>
        <w:t>Module/Programme Assessment Board</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17"/>
          <w:szCs w:val="17"/>
        </w:rPr>
        <w:t>QAA Subject benchmark</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15"/>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XS4208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This programme has a September and January intake.</w:t>
      </w:r>
    </w:p>
    <w:p w:rsidRPr="2030048C" w:rsidP="2030048C">
      <w:pPr>
        <w:rPr>
          <w:rFonts w:ascii="Arial" w:eastAsia="Arial" w:hAnsi="Arial" w:cs="Arial"/>
          <w:sz w:val="24"/>
          <w:szCs w:val="24"/>
        </w:rPr>
      </w:pPr>
      <w:r w:rsidRPr="2030048C">
        <w:rPr>
          <w:rFonts w:ascii="Arial" w:eastAsia="Arial" w:hAnsi="Arial" w:cs="Arial"/>
          <w:sz w:val="24"/>
          <w:szCs w:val="24"/>
        </w:rPr>
        <w:t>January intake delivery dates:</w:t>
      </w:r>
    </w:p>
    <w:p w:rsidRPr="2030048C" w:rsidP="2030048C">
      <w:pPr>
        <w:rPr>
          <w:rFonts w:ascii="Arial" w:eastAsia="Arial" w:hAnsi="Arial" w:cs="Arial"/>
          <w:sz w:val="24"/>
          <w:szCs w:val="24"/>
        </w:rPr>
      </w:pPr>
      <w:r w:rsidRPr="2030048C">
        <w:rPr>
          <w:rFonts w:ascii="Arial" w:eastAsia="Arial" w:hAnsi="Arial" w:cs="Arial"/>
          <w:color w:val="000000"/>
          <w:sz w:val="22"/>
          <w:szCs w:val="22"/>
          <w:shd w:val="clear" w:color="auto" w:fill="FFFFFF"/>
        </w:rPr>
        <w:t>Data and Technology in Business- ACYR </w:t>
      </w:r>
      <w:r w:rsidRPr="2030048C">
        <w:rPr>
          <w:rFonts w:ascii="Arial" w:eastAsia="Arial" w:hAnsi="Arial" w:cs="Arial"/>
          <w:sz w:val="24"/>
          <w:szCs w:val="24"/>
        </w:rPr>
        <w:t>Jan-August</w:t>
      </w:r>
    </w:p>
    <w:p w:rsidRPr="2030048C" w:rsidP="2030048C">
      <w:pPr>
        <w:rPr>
          <w:rFonts w:ascii="Arial" w:eastAsia="Arial" w:hAnsi="Arial" w:cs="Arial"/>
          <w:sz w:val="24"/>
          <w:szCs w:val="24"/>
        </w:rPr>
      </w:pPr>
      <w:r w:rsidRPr="2030048C">
        <w:rPr>
          <w:rFonts w:ascii="Arial" w:eastAsia="Arial" w:hAnsi="Arial" w:cs="Arial"/>
          <w:color w:val="000000"/>
          <w:sz w:val="22"/>
          <w:szCs w:val="22"/>
          <w:shd w:val="clear" w:color="auto" w:fill="FFFFFF"/>
        </w:rPr>
        <w:t>Global Business Environments- ACYR </w:t>
      </w:r>
      <w:r w:rsidRPr="2030048C">
        <w:rPr>
          <w:rFonts w:ascii="Arial" w:eastAsia="Arial" w:hAnsi="Arial" w:cs="Arial"/>
          <w:sz w:val="24"/>
          <w:szCs w:val="24"/>
        </w:rPr>
        <w:t>Jan-August</w:t>
      </w:r>
    </w:p>
    <w:p w:rsidRPr="2030048C" w:rsidP="2030048C">
      <w:pPr>
        <w:rPr>
          <w:rFonts w:ascii="Arial" w:eastAsia="Arial" w:hAnsi="Arial" w:cs="Arial"/>
          <w:sz w:val="24"/>
          <w:szCs w:val="24"/>
        </w:rPr>
      </w:pPr>
      <w:r w:rsidRPr="2030048C">
        <w:rPr>
          <w:rFonts w:ascii="Arial" w:eastAsia="Arial" w:hAnsi="Arial" w:cs="Arial"/>
          <w:color w:val="000000"/>
          <w:sz w:val="22"/>
          <w:szCs w:val="22"/>
          <w:shd w:val="clear" w:color="auto" w:fill="FFFFFF"/>
        </w:rPr>
        <w:t>Organisations &amp; People- ACYR </w:t>
      </w:r>
      <w:r w:rsidRPr="2030048C">
        <w:rPr>
          <w:rFonts w:ascii="Arial" w:eastAsia="Arial" w:hAnsi="Arial" w:cs="Arial"/>
          <w:sz w:val="24"/>
          <w:szCs w:val="24"/>
        </w:rPr>
        <w:t>Jan-August</w:t>
      </w:r>
    </w:p>
    <w:p w:rsidRPr="2030048C" w:rsidP="2030048C">
      <w:pPr>
        <w:rPr>
          <w:rFonts w:ascii="Arial" w:eastAsia="Arial" w:hAnsi="Arial" w:cs="Arial"/>
          <w:sz w:val="24"/>
          <w:szCs w:val="24"/>
        </w:rPr>
      </w:pPr>
      <w:r w:rsidRPr="2030048C">
        <w:rPr>
          <w:rFonts w:ascii="Arial" w:eastAsia="Arial" w:hAnsi="Arial" w:cs="Arial"/>
          <w:color w:val="000000"/>
          <w:sz w:val="22"/>
          <w:szCs w:val="22"/>
          <w:shd w:val="clear" w:color="auto" w:fill="FFFFFF"/>
        </w:rPr>
        <w:t>Marketing &amp; Sales - ACYR </w:t>
      </w:r>
      <w:r w:rsidRPr="2030048C">
        <w:rPr>
          <w:rFonts w:ascii="Arial" w:eastAsia="Arial" w:hAnsi="Arial" w:cs="Arial"/>
          <w:sz w:val="24"/>
          <w:szCs w:val="24"/>
        </w:rPr>
        <w:t>Jan-August</w:t>
      </w:r>
    </w:p>
    <w:p w:rsidRPr="2030048C" w:rsidP="2030048C">
      <w:pPr>
        <w:rPr>
          <w:rFonts w:ascii="Arial" w:eastAsia="Arial" w:hAnsi="Arial" w:cs="Arial"/>
          <w:sz w:val="24"/>
          <w:szCs w:val="24"/>
        </w:rPr>
      </w:pPr>
      <w:r w:rsidRPr="2030048C">
        <w:rPr>
          <w:rFonts w:ascii="Arial" w:eastAsia="Arial" w:hAnsi="Arial" w:cs="Arial"/>
          <w:color w:val="000000"/>
          <w:sz w:val="22"/>
          <w:szCs w:val="22"/>
          <w:shd w:val="clear" w:color="auto" w:fill="FFFFFF"/>
        </w:rPr>
        <w:t>Academic English Skills (AES) - ACYR </w:t>
      </w:r>
      <w:r w:rsidRPr="2030048C">
        <w:rPr>
          <w:rFonts w:ascii="Arial" w:eastAsia="Arial" w:hAnsi="Arial" w:cs="Arial"/>
          <w:sz w:val="24"/>
          <w:szCs w:val="24"/>
        </w:rPr>
        <w:t>Jan-August</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CxSpFirst">
    <w:name w:val="ListParagraphCxSpFirst"/>
    <w:basedOn w:val="ListParagraph"/>
  </w:style>
  <w:style w:type="paragraph" w:customStyle="1" w:styleId="ListParagraphCxSpMiddle">
    <w:name w:val="ListParagraphCxSpMiddle"/>
    <w:basedOn w:val="ListParagraph"/>
  </w:style>
  <w:style w:type="paragraph" w:customStyle="1" w:styleId="ListParagraph0">
    <w:name w:val="ListParagraph"/>
    <w:basedOn w:val="ListParagraph"/>
  </w:style>
  <w:style w:type="paragraph" w:customStyle="1" w:styleId="ListParagraphCxSpLast">
    <w:name w:val="ListParagraphCxSpLas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38ABB93-BD89-41EF-896C-DD6E8AB3287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