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Marketing and Advertising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31/08/2017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Marketing and Advertising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Marketing and Advertising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 in Marketing and Advertising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Certificate of Higher Education in Marketing and Advertising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UFMKA1MKA20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N120 (3 years)</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Marketing and Advertising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Marketing and Advertising</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in Higher Education of Marketing and Advertising</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Certificate of Higher Education in Marketing and Advertising</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UFMKA1MKA45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Marketing and Advertising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Marketing and Advertising</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 in Marketing and Advertising</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Certificate of Higher Education in Marketing and Advertising</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UFMKA1MKA55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Faculty of Business and Social Sciences, Kingston Business School,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course offers an exciting programme for learners aiming to specialise in advertising, social media strategy, marketing communications, public relations, and digital marketing. It combines theoretical understanding with practical application in a digital-first landscape, reflecting the growing importance of creativity, data, and technology.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Designed with an employer-, industry-, and student-led focus, the programme equips graduates with the skills and knowledge to innovate in marketing practice. Students engage in a creatively-led and technologically-driven journey of experiential learning, gaining exposure to digital creativity, data-driven decision-making, and AI-enabled tools alongside core marketing principles.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curriculum emphasises employability and future skills, training learners to think critically and analytically when addressing real-world marketing challenges and implementing well-grounded, creative strategies. Through live briefs, client interaction, and portfolio development, students acquire practical expertise, preparing them for diverse roles in a post-digital environment.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critically the internal and external environment in the context of marketing and advertising.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complex marketing and advertising problems and make evidence-based decisions, including those arising in digital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 to create and communicate value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and communicate a critical understanding of the key areas of marketing and advertising and their relationship with other business functions to influence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marketing communications data and analytics to identify business problems and offer evidence-based marketing and advertising decisions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practical understanding of appropriate approaches and strategies used in the contemporary marketing and advertising, including digital contexts and platforms.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marketing communications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Draw upon appropriate marketing and advertising theories and frameworks to recommend a range of creative marketing and advertising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marketing and advertising problems and opportunities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For students on the professional placement route only: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Apply theoretical knowledge to develop practical insights into professional practices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BM4001 The Marketing Mindset at Level 4</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BM5001 Advertising Tools, Techniques and Technologies at Level 5</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Apply is embedded into AX6001 Future Skills Apply module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For students on the professional placement route, the successful completion of BH5030 Year-Long Work Placement module will be required for the award of the professional placement credits. If a student does not secure a placement or does not complete the professional placement, they will automatically be transferred to the without placement route.</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Marketing and Advertising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Marketing and Advertising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Creativity in Digital Marketing and Advertising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Managing Marketing Data</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Marketing Mindset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Principles of Marketing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N/A</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Marketing and Advertising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Advertising Tools, Techniques and Technologies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Analytics and AI for Marketing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Market Research and Behavioural Insights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Strategic Marketing in a Digital World</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Marketing.</w:t>
      </w:r>
    </w:p>
    <w:p w:rsidR="3891A81D" w:rsidRPr="2030048C" w:rsidP="2030048C">
      <w:pPr>
        <w:pStyle w:val="Heading3"/>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pStyle w:val="Heading3"/>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It is possible to take an additional year to undertake a work placement, a study exchange or a combination of work placement and study exchange.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Further details regarding study abroad can be found in the Student Mobility Regulations – </w:t>
      </w:r>
      <w:hyperlink r:id="rId11" w:history="1">
        <w:r w:rsidRPr="2030048C">
          <w:rPr>
            <w:rStyle w:val="normaltextrun"/>
            <w:rFonts w:ascii="Arial" w:eastAsia="Arial" w:hAnsi="Arial" w:cs="Arial"/>
            <w:color w:val="000000" w:themeColor="text1" w:themeShade="FF" w:themeTint="FF"/>
            <w:sz w:val="24"/>
            <w:szCs w:val="24"/>
          </w:rPr>
          <w:t xml:space="preserve">Academic regulation 14 </w:t>
        </w:r>
      </w:hyperlink>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Marketing and Advertising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Brands, Buyers and Behaviours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Digital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BM6717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Integrated Marketing Communications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BM6713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Marketing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BM6719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Marketing and Advertising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Marketing and Advertising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successful completion of BH5030 Year-Long Work Placement module will be required for the award of the professional placement credits. If a student does not secure a placement or does not complete the professional placement, they will automatically be transferred to the without placement route.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Marketing and Advertising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13"/>
        <w:gridCol w:w="212"/>
        <w:gridCol w:w="559"/>
        <w:gridCol w:w="559"/>
        <w:gridCol w:w="559"/>
        <w:gridCol w:w="558"/>
        <w:gridCol w:w="1"/>
        <w:gridCol w:w="559"/>
        <w:gridCol w:w="544"/>
        <w:gridCol w:w="559"/>
        <w:gridCol w:w="559"/>
        <w:gridCol w:w="557"/>
        <w:gridCol w:w="2"/>
        <w:gridCol w:w="536"/>
        <w:gridCol w:w="559"/>
        <w:gridCol w:w="559"/>
        <w:gridCol w:w="559"/>
        <w:gridCol w:w="556"/>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BM4006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BM6713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BM6717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BM6719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d68b3152cf5d08c2f050-97c828cc9502c69ac5af7576c62d48d6.ssl.cf3.rackcdn.com/documents/user-upload/kingston-university-1ebb50b0838-kingston-university-fb6443688f7.pdf"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A14C9E8-5A0E-4CE1-B33D-36D96AC1A43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