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HND</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01/01/2013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06/06/2024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4</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College</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HND</w:t>
            </w:r>
            <w:r w:rsidRPr="01DA1EA0">
              <w:rPr>
                <w:rFonts w:ascii="Arial" w:hAnsi="Arial" w:cs="Arial"/>
                <w:sz w:val="22"/>
                <w:szCs w:val="22"/>
              </w:rPr>
              <w:t xml:space="preserve"> </w:t>
            </w:r>
            <w:r w:rsidRPr="01DA1EA0">
              <w:rPr>
                <w:rFonts w:ascii="Arial" w:hAnsi="Arial" w:cs="Arial"/>
                <w:sz w:val="22"/>
                <w:szCs w:val="22"/>
              </w:rPr>
              <w:t>Business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Higher National Certificate</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422N Campus K Institution Code K84</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5</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College</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Upon Thames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32 UCAS Tariff Points: This must include one full 6-unit award (GCE A2 or equivalent at A- level).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Access Diploma: Pass relevant subject-related Access course with a minimum of 48 credits at level 3 or above including 14 at Merit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Plus: GCSEs grade A – C in Maths and English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Additionally, for those for whom English is not their first language, the following (or equivalent) qualifications are also needed: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TOEFL: IELTS: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Minimum overall mark of 70 Minimum mark of 5.5 across all elements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Minimum element marks in: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Reading: 15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Listening: 15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Writing: 17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Speaking: 23</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Arial" w:eastAsia="Arial" w:hAnsi="Arial" w:cs="Arial"/>
                <w:i/>
                <w:iCs/>
                <w:color w:val="FF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General Business</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firstLine="36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There are no variants.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features of this programme: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uplift the study skills and confidence levels of entrants with prior academic performance that has prohibited their direct entry to a degree to help them to be successful in higher education and subsequently employment.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all students with an in-depth knowledge and understanding of the core elements of business and management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 xml:space="preserve">the intellectual skills necessary to contribute to effective business practice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 related practical skills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for employment, research, further study and lifelong learning by developing their intellectual, practical and key (transferable) skills</w:t>
      </w: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provides opportunities for students to develop and demonstrate knowledge and understanding, skills and other attributes in the following areas.  </w:t>
      </w:r>
      <w:r w:rsidRPr="007C4290">
        <w:rPr>
          <w:rStyle w:val="normaltextrun"/>
          <w:rFonts w:ascii="Arial" w:hAnsi="Arial" w:cs="Arial"/>
          <w:color w:val="000000" w:themeColor="text1"/>
          <w:sz w:val="22"/>
          <w:szCs w:val="22"/>
          <w:shd w:val="clear" w:color="auto" w:fill="FFFFFF"/>
        </w:rPr>
        <w:t xml:space="preserve">The programme outcomes are referenced to the </w:t>
      </w:r>
      <w:r w:rsidRPr="007C4290">
        <w:rPr>
          <w:rStyle w:val="normaltextrun"/>
          <w:rFonts w:ascii="Arial" w:hAnsi="Arial" w:cs="Arial"/>
          <w:color w:val="000000" w:themeColor="text1"/>
          <w:sz w:val="22"/>
          <w:szCs w:val="22"/>
          <w:shd w:val="clear" w:color="auto" w:fill="FFFFFF"/>
        </w:rPr>
        <w:t>QAA Subject Benchmark Statement for Business and Management (2015)</w:t>
      </w:r>
      <w:r w:rsidRPr="007C4290">
        <w:rPr>
          <w:rStyle w:val="normaltextrun"/>
          <w:rFonts w:ascii="Arial" w:hAnsi="Arial" w:cs="Arial"/>
          <w:color w:val="000000" w:themeColor="text1"/>
          <w:sz w:val="22"/>
          <w:szCs w:val="22"/>
          <w:shd w:val="clear" w:color="auto" w:fill="FFFFFF"/>
        </w:rPr>
        <w:t xml:space="preserve"> and the Framework for Higher Education Qualifications</w:t>
      </w:r>
      <w:r w:rsidRPr="007C4290">
        <w:rPr>
          <w:rStyle w:val="normaltextrun"/>
          <w:rFonts w:ascii="Arial" w:hAnsi="Arial" w:cs="Arial"/>
          <w:color w:val="000000" w:themeColor="text1"/>
          <w:sz w:val="22"/>
          <w:szCs w:val="22"/>
          <w:shd w:val="clear" w:color="auto" w:fill="FFFFFF"/>
        </w:rPr>
        <w:t xml:space="preserve"> in England, Wales and Northern Ireland (2008),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 awareness of the graduate employment market and provide an understanding of graduate level recruitment processes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Deal critically with management and personal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Search specialist databases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current issues of international business and have an awareness of issues such as sustainability, ethics and social responsibility and how these relate to contemporary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business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financial literacy through reading and interpreting managerial information and other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how business elements interrelate and affect overall organisational performance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the intellectual skills necessary to contribute to effective business practice and successful study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planning tools in project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in-depth knowledge and understanding of the key functional business areas such as marketing, accounting and finance, people management, operations and project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select relevant sources of business data for use in the successful study of business and for business decision making purposes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Conduct themselves in a professional manner whilst studying and similarly in the workplace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knowledge and understanding of the business environment and how it impacts upon businesses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full-time mode, and leads to the award of HND Business. Entry is normally at level 4 with A-level or equivalent qualifications (See section D).  </w:t>
      </w:r>
      <w:r w:rsidRPr="66934EB1">
        <w:rPr>
          <w:rFonts w:ascii="Arial" w:eastAsia="Arial" w:hAnsi="Arial" w:cs="Arial"/>
          <w:color w:val="000000" w:themeColor="text1"/>
          <w:sz w:val="22"/>
          <w:szCs w:val="22"/>
        </w:rPr>
        <w:t>Transfer from a similar programme is possible at level 5 with passes in comparable level 4 modules – but is 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in September.</w:t>
      </w: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i/>
          <w:iCs/>
          <w:color w:val="000000" w:themeColor="text1"/>
          <w:sz w:val="22"/>
          <w:szCs w:val="22"/>
        </w:rPr>
        <w:t>None</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 including sandwich programmes</w:t>
      </w:r>
    </w:p>
    <w:p w:rsidRPr="66934EB1" w:rsidP="66934EB1">
      <w:pPr>
        <w:ind w:left="720"/>
        <w:rPr>
          <w:rFonts w:ascii="Arial" w:eastAsia="Arial" w:hAnsi="Arial" w:cs="Arial"/>
          <w:color w:val="000000" w:themeColor="text1"/>
          <w:sz w:val="22"/>
          <w:szCs w:val="22"/>
        </w:rPr>
      </w:pPr>
      <w:r w:rsidRPr="66934EB1">
        <w:rPr>
          <w:rFonts w:ascii="Arial" w:eastAsia="Arial" w:hAnsi="Arial" w:cs="Arial"/>
          <w:color w:val="000000" w:themeColor="text1"/>
          <w:sz w:val="22"/>
          <w:szCs w:val="22"/>
        </w:rPr>
        <w:t>Work placements are actively encouraged – although it is the responsibility of individual students to source and secure such placements.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Each level is made up of four modules </w:t>
      </w:r>
      <w:r w:rsidRPr="66934EB1">
        <w:rPr>
          <w:rFonts w:ascii="Arial" w:eastAsia="Arial" w:hAnsi="Arial" w:cs="Arial"/>
          <w:color w:val="000000" w:themeColor="text1"/>
          <w:sz w:val="22"/>
          <w:szCs w:val="22"/>
        </w:rPr>
        <w:t xml:space="preserve">each worth 30 credit points. </w:t>
      </w:r>
      <w:r w:rsidRPr="66934EB1">
        <w:rPr>
          <w:rFonts w:ascii="Arial" w:eastAsia="Arial" w:hAnsi="Arial" w:cs="Arial"/>
          <w:color w:val="000000" w:themeColor="text1"/>
          <w:sz w:val="22"/>
          <w:szCs w:val="22"/>
        </w:rPr>
        <w:t>Typically a student must complet</w:t>
      </w:r>
      <w:r w:rsidRPr="66934EB1">
        <w:rPr>
          <w:rFonts w:ascii="Arial" w:eastAsia="Arial" w:hAnsi="Arial" w:cs="Arial"/>
          <w:color w:val="000000" w:themeColor="text1"/>
          <w:sz w:val="22"/>
          <w:szCs w:val="22"/>
        </w:rPr>
        <w:t xml:space="preserve">e 120 credits at each level. </w:t>
      </w:r>
      <w:r w:rsidRPr="66934EB1">
        <w:rPr>
          <w:rFonts w:ascii="Arial" w:eastAsia="Arial" w:hAnsi="Arial" w:cs="Arial"/>
          <w:color w:val="000000" w:themeColor="text1"/>
          <w:sz w:val="22"/>
          <w:szCs w:val="22"/>
        </w:rPr>
        <w:t>All students will be provided with the University regulations during the Induction period, and at each level of study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HND</w:t>
      </w:r>
      <w:r w:rsidRPr="66934EB1">
        <w:rPr>
          <w:rFonts w:ascii="Calibri Light" w:eastAsia="Calibri Light" w:hAnsi="Calibri Light" w:cs="Calibri Light"/>
        </w:rPr>
        <w:t xml:space="preserve"> </w:t>
      </w:r>
      <w:r w:rsidRPr="66934EB1">
        <w:rPr>
          <w:rFonts w:ascii="Calibri Light" w:eastAsia="Calibri Light" w:hAnsi="Calibri Light" w:cs="Calibri Light"/>
        </w:rPr>
        <w:t>Business</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HND</w:t>
            </w:r>
            <w:r w:rsidRPr="66934EB1">
              <w:rPr>
                <w:rFonts w:ascii="Arial" w:eastAsia="Arial" w:hAnsi="Arial" w:cs="Arial"/>
                <w:b/>
                <w:bCs/>
              </w:rPr>
              <w:t xml:space="preserve"> </w:t>
            </w:r>
            <w:r w:rsidRPr="66934EB1">
              <w:rPr>
                <w:rFonts w:ascii="Arial" w:eastAsia="Arial" w:hAnsi="Arial" w:cs="Arial"/>
                <w:b/>
                <w:bCs/>
              </w:rPr>
              <w:t>Business</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BUSINESS AND STUDY FUNDAMENTALS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BD4000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BUSINESS ORGANISATIONS AND THE WIDER ENVIRONMENT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Career &amp; Employability Development/HRM</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ESSENTIALS OF MARKETING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HND</w:t>
            </w:r>
            <w:r w:rsidRPr="66934EB1">
              <w:rPr>
                <w:rFonts w:ascii="Arial" w:eastAsia="Arial" w:hAnsi="Arial" w:cs="Arial"/>
                <w:b/>
                <w:bCs/>
              </w:rPr>
              <w:t xml:space="preserve"> </w:t>
            </w:r>
            <w:r w:rsidRPr="66934EB1">
              <w:rPr>
                <w:rFonts w:ascii="Arial" w:eastAsia="Arial" w:hAnsi="Arial" w:cs="Arial"/>
                <w:b/>
                <w:bCs/>
              </w:rPr>
              <w:t>Business</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Financial and Managerial Decision Making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BD5004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International Business &amp; Culture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Introduction to Project and Operations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PEOPLE AND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At the heart of the programme lies the combination of theory, business practice and the development of skills - those required in the immediate future for study and those subsequently required for employment.</w:t>
      </w:r>
      <w:r w:rsidRPr="503DC450">
        <w:rPr>
          <w:rFonts w:ascii="Arial" w:hAnsi="Arial" w:cs="Arial"/>
          <w:sz w:val="22"/>
          <w:szCs w:val="22"/>
        </w:rPr>
        <w:t xml:space="preserve">  </w:t>
      </w:r>
      <w:r w:rsidRPr="503DC450">
        <w:rPr>
          <w:rFonts w:ascii="Arial" w:hAnsi="Arial" w:cs="Arial"/>
          <w:sz w:val="22"/>
          <w:szCs w:val="22"/>
        </w:rPr>
        <w:t>Lecturing staff with significant work experience expose students to current business developments, whilst industry guest speakers provide additional opportunities to relate these to practice.</w:t>
      </w:r>
      <w:r w:rsidRPr="503DC450">
        <w:rPr>
          <w:rFonts w:ascii="Arial" w:hAnsi="Arial" w:cs="Arial"/>
          <w:sz w:val="22"/>
          <w:szCs w:val="22"/>
        </w:rPr>
        <w:t xml:space="preserve">  </w:t>
      </w:r>
      <w:r w:rsidRPr="503DC450">
        <w:rPr>
          <w:rFonts w:ascii="Arial" w:hAnsi="Arial" w:cs="Arial"/>
          <w:sz w:val="22"/>
          <w:szCs w:val="22"/>
        </w:rPr>
        <w:t>Furthermore, assignments typically require substantial primary and secondary research to be undertaken, thereby ensuring students progressively develop research skills at each level of the programme. Assessments are presented in a range of formats including formal reports, presentations and IT based formats such as website and thus develop a range of presentation skills.</w:t>
      </w:r>
    </w:p>
    <w:p w:rsidRPr="503DC450" w:rsidP="007D20BC">
      <w:pPr>
        <w:rPr>
          <w:rFonts w:ascii="Arial" w:hAnsi="Arial" w:cs="Arial"/>
          <w:sz w:val="22"/>
          <w:szCs w:val="22"/>
        </w:rPr>
      </w:pPr>
      <w:r w:rsidRPr="503DC450">
        <w:rPr>
          <w:rFonts w:ascii="Arial" w:hAnsi="Arial" w:cs="Arial"/>
          <w:sz w:val="22"/>
          <w:szCs w:val="22"/>
        </w:rPr>
        <w:t>The assessment strategy ensures that students have explicit formative opportunities for practice and ‘feed forward’ designed to help them achieve their full potential in summative assessment. At level 4 there will also be formative assessment type activities which will actually carry weighted marks to engage and develop the learners. Examples of this will include plans for a significant piece of coursework, online tests checking the knowledge and understanding of the requirement for assessment taking place on other modules running concurrently. A range of methods will be selected to actively engage students, including problem and enquiry-based learning, industry research and peer-assisted learning.</w:t>
      </w:r>
    </w:p>
    <w:p w:rsidRPr="503DC450" w:rsidP="007D20BC">
      <w:pPr>
        <w:rPr>
          <w:rFonts w:ascii="Arial" w:hAnsi="Arial" w:cs="Arial"/>
          <w:sz w:val="22"/>
          <w:szCs w:val="22"/>
        </w:rPr>
      </w:pPr>
      <w:r w:rsidRPr="503DC450">
        <w:rPr>
          <w:rFonts w:ascii="Arial" w:hAnsi="Arial" w:cs="Arial"/>
          <w:sz w:val="22"/>
          <w:szCs w:val="22"/>
        </w:rPr>
        <w:t>This programme provides specific support mechanisms to help the entrants to the course that have levels of prior academic achievement which have restricted their direct access to a degree to be successful, and these include;</w:t>
      </w:r>
    </w:p>
    <w:p w:rsidRPr="503DC450" w:rsidP="007D20BC">
      <w:pPr>
        <w:rPr>
          <w:rFonts w:ascii="Arial" w:hAnsi="Arial" w:cs="Arial"/>
          <w:sz w:val="22"/>
          <w:szCs w:val="22"/>
        </w:rPr>
      </w:pPr>
      <w:r w:rsidRPr="503DC450">
        <w:rPr>
          <w:rFonts w:ascii="Arial" w:hAnsi="Arial" w:cs="Arial"/>
          <w:sz w:val="22"/>
          <w:szCs w:val="22"/>
        </w:rPr>
        <w:t>Additional contact hours than might otherwise be provided on an equivalent degree course which will provide good opportunity for in class supported formative assessment.</w:t>
      </w:r>
    </w:p>
    <w:p w:rsidRPr="503DC450" w:rsidP="007D20BC">
      <w:pPr>
        <w:rPr>
          <w:rFonts w:ascii="Arial" w:hAnsi="Arial" w:cs="Arial"/>
          <w:sz w:val="22"/>
          <w:szCs w:val="22"/>
        </w:rPr>
      </w:pPr>
      <w:r w:rsidRPr="503DC450">
        <w:rPr>
          <w:rFonts w:ascii="Arial" w:hAnsi="Arial" w:cs="Arial"/>
          <w:sz w:val="22"/>
          <w:szCs w:val="22"/>
        </w:rPr>
        <w:t xml:space="preserve">A module at level 4 entitled “Business and Study Fundamentals” which provides not only generic study skills support but study skills and research methods support that is explicitly designed to help students succeed on the other modules that they will be studying at level 4. This aspect of the module has been designed using the experience of the workings of the successful Study Skills module that </w:t>
      </w:r>
      <w:r w:rsidRPr="503DC450">
        <w:rPr>
          <w:rFonts w:ascii="Arial" w:hAnsi="Arial" w:cs="Arial"/>
          <w:sz w:val="22"/>
          <w:szCs w:val="22"/>
        </w:rPr>
        <w:t>was</w:t>
      </w:r>
      <w:r w:rsidRPr="503DC450">
        <w:rPr>
          <w:rFonts w:ascii="Arial" w:hAnsi="Arial" w:cs="Arial"/>
          <w:sz w:val="22"/>
          <w:szCs w:val="22"/>
        </w:rPr>
        <w:t xml:space="preserve"> part of the HND Business and Finance programme. </w:t>
      </w:r>
    </w:p>
    <w:p w:rsidRPr="503DC450" w:rsidP="007D20BC">
      <w:pPr>
        <w:rPr>
          <w:rFonts w:ascii="Arial" w:hAnsi="Arial" w:cs="Arial"/>
          <w:sz w:val="22"/>
          <w:szCs w:val="22"/>
        </w:rPr>
      </w:pPr>
      <w:r w:rsidRPr="503DC450">
        <w:rPr>
          <w:rFonts w:ascii="Arial" w:hAnsi="Arial" w:cs="Arial"/>
          <w:sz w:val="22"/>
          <w:szCs w:val="22"/>
        </w:rPr>
        <w:t>A form of assessment on the other three level 4 modules that gives a summative mark weighting to the submission of a plan for the more substantial assessments and thus gives a formal recognition to formative assessment. This will require the students to undertake formal planning before embarking on larger scale assessment and will also provide them with constructive feedback on their plans prior to the start of the actual construction of their assessment work.</w:t>
      </w:r>
    </w:p>
    <w:p w:rsidRPr="503DC450" w:rsidP="007D20BC">
      <w:pPr>
        <w:rPr>
          <w:rFonts w:ascii="Arial" w:hAnsi="Arial" w:cs="Arial"/>
          <w:sz w:val="22"/>
          <w:szCs w:val="22"/>
        </w:rPr>
      </w:pPr>
      <w:r w:rsidRPr="503DC450">
        <w:rPr>
          <w:rFonts w:ascii="Arial" w:hAnsi="Arial" w:cs="Arial"/>
          <w:sz w:val="22"/>
          <w:szCs w:val="22"/>
        </w:rPr>
        <w:t>A style of teaching in the classroom that is particularly learner focused, interactive and individual (perhaps more than might be expected on some comparative level 4 study).An example of this appears in the Business and Study Fundamentals Module where learners will be able to proceed through study skills online assessments at their own pace.</w:t>
      </w:r>
    </w:p>
    <w:p w:rsidRPr="503DC450" w:rsidP="007D20BC">
      <w:pPr>
        <w:rPr>
          <w:rFonts w:ascii="Arial" w:hAnsi="Arial" w:cs="Arial"/>
          <w:sz w:val="22"/>
          <w:szCs w:val="22"/>
        </w:rPr>
      </w:pPr>
      <w:r w:rsidRPr="503DC450">
        <w:rPr>
          <w:rFonts w:ascii="Arial" w:hAnsi="Arial" w:cs="Arial"/>
          <w:sz w:val="22"/>
          <w:szCs w:val="22"/>
        </w:rPr>
        <w:t xml:space="preserve">The assessment design will include a recognition of the learners’ need for more bite size learning and continual learning (particularly at level 4) than might be seen on other comparable awards. </w:t>
      </w:r>
    </w:p>
    <w:p w:rsidRPr="503DC450" w:rsidP="007D20BC">
      <w:pPr>
        <w:rPr>
          <w:rFonts w:ascii="Arial" w:hAnsi="Arial" w:cs="Arial"/>
          <w:sz w:val="22"/>
          <w:szCs w:val="22"/>
        </w:rPr>
      </w:pPr>
      <w:r w:rsidRPr="503DC450">
        <w:rPr>
          <w:rFonts w:ascii="Arial" w:hAnsi="Arial" w:cs="Arial"/>
          <w:sz w:val="22"/>
          <w:szCs w:val="22"/>
        </w:rPr>
        <w:t>Students will have a tutor allocated to them at each level of study.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The personal tutors will also, where practical, teach modules to the students and thus the concept of their “experiencing” the course with the student will be developed.</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In addition, early formative and summative assessment (specifically on the Study Fundamentals module) during the first five weeks of the course is used to monitor student engagement with both in-class and online learning.</w:t>
      </w:r>
      <w:r w:rsidRPr="503DC450">
        <w:rPr>
          <w:rFonts w:ascii="Arial" w:hAnsi="Arial" w:cs="Arial"/>
          <w:sz w:val="22"/>
          <w:szCs w:val="22"/>
        </w:rPr>
        <w:t xml:space="preserve">  </w:t>
      </w:r>
      <w:r w:rsidRPr="503DC450">
        <w:rPr>
          <w:rFonts w:ascii="Arial" w:hAnsi="Arial" w:cs="Arial"/>
          <w:sz w:val="22"/>
          <w:szCs w:val="22"/>
        </w:rPr>
        <w:t>Students who are considered 'at risk' due to low engagement can be identified and advised by the personal tutor, with the support of the student liaison team, where issues are non-academic.</w:t>
      </w: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Module leader for each module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Personal Academic Tutors</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Careers and Employability Service and the College’s Information Advice and Guidance Unit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Placement advice, guidance and support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Learning Resources Academic Skills Centre (LASC)</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An induction week at the start of the programme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On-going re-induction sessions at appropriate points in the course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Moodle - a versatile on-line interactive intranet</w:t>
      </w:r>
      <w:r w:rsidRPr="503DC450">
        <w:rPr>
          <w:rFonts w:ascii="Arial" w:hAnsi="Arial" w:cs="Arial"/>
          <w:sz w:val="22"/>
          <w:szCs w:val="22"/>
        </w:rPr>
        <w:t xml:space="preserve">  </w:t>
      </w:r>
      <w:r w:rsidRPr="503DC450">
        <w:rPr>
          <w:rFonts w:ascii="Arial" w:hAnsi="Arial" w:cs="Arial"/>
          <w:sz w:val="22"/>
          <w:szCs w:val="22"/>
        </w:rPr>
        <w:t>and learning environment</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The Students’ Union (you will be</w:t>
      </w:r>
      <w:r w:rsidRPr="503DC450">
        <w:rPr>
          <w:rFonts w:ascii="Arial" w:hAnsi="Arial" w:cs="Arial"/>
          <w:sz w:val="22"/>
          <w:szCs w:val="22"/>
        </w:rPr>
        <w:t xml:space="preserve">  </w:t>
      </w:r>
      <w:r w:rsidRPr="503DC450">
        <w:rPr>
          <w:rFonts w:ascii="Arial" w:hAnsi="Arial" w:cs="Arial"/>
          <w:sz w:val="22"/>
          <w:szCs w:val="22"/>
        </w:rPr>
        <w:t xml:space="preserve">a member of both Kingston College and Kingston University’s Student Union)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and College have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School Education Committee meetings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evaluation</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Voice Committees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Moderation policies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Informal feedback mechanisms including Student Quality Circles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Developing employable diplomats/graduates is at the heart of this programme.</w:t>
      </w:r>
      <w:r w:rsidRPr="503DC450">
        <w:rPr>
          <w:rFonts w:ascii="Arial" w:hAnsi="Arial" w:cs="Arial"/>
          <w:sz w:val="22"/>
          <w:szCs w:val="22"/>
        </w:rPr>
        <w:t xml:space="preserve">  </w:t>
      </w:r>
      <w:r w:rsidRPr="503DC450">
        <w:rPr>
          <w:rFonts w:ascii="Arial" w:hAnsi="Arial" w:cs="Arial"/>
          <w:sz w:val="22"/>
          <w:szCs w:val="22"/>
        </w:rPr>
        <w:t>At all levels students have the opportunity to engage in work related projects drawing on case studies and real life scenarios and all modules are designed to develop the skills valued by employers, such as presentations, teamwork, problem-solving and communication skills.</w:t>
      </w:r>
      <w:r w:rsidRPr="503DC450">
        <w:rPr>
          <w:rFonts w:ascii="Arial" w:hAnsi="Arial" w:cs="Arial"/>
          <w:sz w:val="22"/>
          <w:szCs w:val="22"/>
        </w:rPr>
        <w:t xml:space="preserve">  </w:t>
      </w:r>
      <w:r w:rsidRPr="503DC450">
        <w:rPr>
          <w:rFonts w:ascii="Arial" w:hAnsi="Arial" w:cs="Arial"/>
          <w:sz w:val="22"/>
          <w:szCs w:val="22"/>
        </w:rPr>
        <w:t>This is achieved by embedding employability initiatives within the curriculum as well as designing appropriate assessment methods to mirror real-life practices, eg: business plans, reports and summaries, so that students are exposed to opportunities that develop their skills on an ongoing basis.</w:t>
      </w:r>
      <w:r w:rsidRPr="503DC450">
        <w:rPr>
          <w:rFonts w:ascii="Arial" w:hAnsi="Arial" w:cs="Arial"/>
          <w:sz w:val="22"/>
          <w:szCs w:val="22"/>
        </w:rPr>
        <w:t xml:space="preserve">  </w:t>
      </w:r>
      <w:r w:rsidRPr="503DC450">
        <w:rPr>
          <w:rFonts w:ascii="Arial" w:hAnsi="Arial" w:cs="Arial"/>
          <w:sz w:val="22"/>
          <w:szCs w:val="22"/>
        </w:rPr>
        <w:t>Students are encouraged to reflect on their learning so they can also articulate how the acquisition of such skills relates to practice and how they can be developed in the future. Business practitioners often contribute to the evaluation of student work.</w:t>
      </w:r>
      <w:r w:rsidRPr="503DC450">
        <w:rPr>
          <w:rFonts w:ascii="Arial" w:hAnsi="Arial" w:cs="Arial"/>
          <w:sz w:val="22"/>
          <w:szCs w:val="22"/>
        </w:rPr>
        <w:t xml:space="preserve">  </w:t>
      </w:r>
    </w:p>
    <w:p w:rsidRPr="503DC450" w:rsidP="001A372B">
      <w:pPr>
        <w:rPr>
          <w:rFonts w:ascii="Arial" w:hAnsi="Arial" w:cs="Arial"/>
          <w:sz w:val="22"/>
          <w:szCs w:val="22"/>
        </w:rPr>
      </w:pPr>
      <w:r w:rsidRPr="503DC450">
        <w:rPr>
          <w:rFonts w:ascii="Arial" w:hAnsi="Arial" w:cs="Arial"/>
          <w:sz w:val="22"/>
          <w:szCs w:val="22"/>
        </w:rPr>
        <w:t xml:space="preserve">The services of a dedicated placement office are offered to all students via the University.  </w:t>
      </w:r>
      <w:r w:rsidRPr="503DC450">
        <w:rPr>
          <w:rFonts w:ascii="Arial" w:hAnsi="Arial" w:cs="Arial"/>
          <w:sz w:val="22"/>
          <w:szCs w:val="22"/>
        </w:rPr>
        <w:t>During the first year, all students are required to submit a CV (within the Study Fundamentals Module) which is assessed and critiqued by employability specialists.</w:t>
      </w:r>
      <w:r w:rsidRPr="503DC450">
        <w:rPr>
          <w:rFonts w:ascii="Arial" w:hAnsi="Arial" w:cs="Arial"/>
          <w:sz w:val="22"/>
          <w:szCs w:val="22"/>
        </w:rPr>
        <w:t xml:space="preserve">  </w:t>
      </w:r>
      <w:r w:rsidRPr="503DC450">
        <w:rPr>
          <w:rFonts w:ascii="Arial" w:hAnsi="Arial" w:cs="Arial"/>
          <w:sz w:val="22"/>
          <w:szCs w:val="22"/>
        </w:rPr>
        <w:t>In addition, a dedicated employability co-ordinator provides drop-in and scheduled events to support students in the preparation of CVs, applications and preparation for interviews and assessment centres, which whilst targeted at final year students, are available for students at any level.</w:t>
      </w:r>
      <w:r w:rsidRPr="503DC450">
        <w:rPr>
          <w:rFonts w:ascii="Arial" w:hAnsi="Arial" w:cs="Arial"/>
          <w:sz w:val="22"/>
          <w:szCs w:val="22"/>
        </w:rPr>
        <w:t xml:space="preserve">  </w:t>
      </w:r>
      <w:r w:rsidRPr="503DC450">
        <w:rPr>
          <w:rFonts w:ascii="Arial" w:hAnsi="Arial" w:cs="Arial"/>
          <w:sz w:val="22"/>
          <w:szCs w:val="22"/>
        </w:rPr>
        <w:t xml:space="preserve">This is further supported by the College’s Information Advice and Guidance Unit and as part of the course by the Career and Employability Development/HRM module. </w:t>
      </w:r>
    </w:p>
    <w:p w:rsidRPr="503DC450" w:rsidP="001A372B">
      <w:pPr>
        <w:rPr>
          <w:rFonts w:ascii="Arial" w:hAnsi="Arial" w:cs="Arial"/>
          <w:sz w:val="22"/>
          <w:szCs w:val="22"/>
        </w:rPr>
      </w:pPr>
      <w:r w:rsidRPr="503DC450">
        <w:rPr>
          <w:rFonts w:ascii="Arial" w:hAnsi="Arial" w:cs="Arial"/>
          <w:sz w:val="22"/>
          <w:szCs w:val="22"/>
        </w:rPr>
        <w:t xml:space="preserve">Available to the students via the University Faculty there is the opportunity to attend both employment-based activities where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rsidRPr="503DC450" w:rsidP="001A372B">
      <w:pPr>
        <w:rPr>
          <w:rFonts w:ascii="Arial" w:hAnsi="Arial" w:cs="Arial"/>
          <w:sz w:val="22"/>
          <w:szCs w:val="22"/>
        </w:rPr>
      </w:pPr>
      <w:r w:rsidRPr="503DC450">
        <w:rPr>
          <w:rFonts w:ascii="Arial" w:hAnsi="Arial" w:cs="Arial"/>
          <w:sz w:val="22"/>
          <w:szCs w:val="22"/>
        </w:rPr>
        <w:t>The College has also developed direct links with employer organisations such as the Chartered Institute of Management Accountants (CIMA), SAGE, Unilever, Institute of Direct &amp; Digital Marketing (IDM), Barclays and Santander Banking Group who have facilitated seminars about careers in accounting and preparation for employment interviews and selection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QAA Benchmark statement website:</w:t>
      </w:r>
      <w:r w:rsidRPr="503DC450">
        <w:rPr>
          <w:rFonts w:ascii="Arial" w:hAnsi="Arial" w:cs="Arial"/>
          <w:sz w:val="22"/>
          <w:szCs w:val="22"/>
        </w:rPr>
        <w:t xml:space="preserve">  </w:t>
      </w:r>
    </w:p>
    <w:p w:rsidRPr="503DC450" w:rsidP="00A92C9B">
      <w:pPr>
        <w:ind w:left="360"/>
        <w:rPr>
          <w:rFonts w:ascii="Arial" w:hAnsi="Arial" w:cs="Arial"/>
          <w:sz w:val="22"/>
          <w:szCs w:val="22"/>
        </w:rPr>
      </w:pPr>
      <w:hyperlink r:id="rId11" w:history="1">
        <w:r w:rsidRPr="503DC450">
          <w:rPr>
            <w:rFonts w:ascii="Arial" w:hAnsi="Arial" w:cs="Arial"/>
            <w:sz w:val="22"/>
            <w:szCs w:val="22"/>
            <w:u w:val="single"/>
          </w:rPr>
          <w:t>https://www.qaa.ac.uk/docs/qaa/subject-benchmark-statements/subject-benchmark-statement-business-and-management.pdf?sfvrsn=db39c881_5</w:t>
        </w:r>
      </w:hyperlink>
      <w:r w:rsidRPr="503DC450">
        <w:rPr>
          <w:rFonts w:ascii="Arial" w:hAnsi="Arial" w:cs="Arial"/>
          <w:sz w:val="22"/>
          <w:szCs w:val="22"/>
        </w:rPr>
        <w:t xml:space="preserve">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Module guides/module handbooks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handbook</w:t>
      </w:r>
    </w:p>
    <w:p w:rsidRPr="503DC450" w:rsidP="00A92C9B">
      <w:pPr>
        <w:ind w:left="360"/>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195"/>
        <w:gridCol w:w="316"/>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business-and-management.pdf?sfvrsn=db39c881_5"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A3104F2-BB71-4253-835A-785BCFCBAFF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