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03/05/2024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GISMA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The minimum entry qualifications for the programme are: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Age: 17+</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English language: A minimum IELTS score of 5 or equivalent is required for those for whom English is not their first language.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Nationality: Any non-UK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Academic entry requirements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Good high school grades or equivalent or General university entrance qualification</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Mature applicants with vocational experience may be considered but offers will be subject to interview.</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main aims of the International Foundation year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from a range of educational backgrounds and achievements with a Foundation course that prepares them with knowledge, understanding, skills and competence to progress successfully in their chosen studies in Business related undergraduate programmes in the School of Business and subsequently employment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develop the abilities of students to interrelate and apply knowledge, skills and understanding gained from different parts of the course to the solution of problems with confidence,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all students with an in-depth knowledge and understanding of the core elements of business and management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the intellectual skills necessary to contribute to effective business practice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ensure that students are able to work effectively with others.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and how it impacts upon businesses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intellectual skills necessary to contribute to effective business practice and successful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planning tools in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key functional business areas such as marketing, accounting and finance, people management, operations and project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sources of business data for use in the successful study of business and for business decision making purposes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financial literacy through reading and interpreting managerial information and other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contemporary issues surrounding the growth of innovation, social and environmental responsibility, globalisation, internationalisation, sustainability and enterprise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appraise evidence from both disciplinary and multi-disciplinary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numerical competence in the analysis and interpretation of business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current issues of international business and have an awareness of issues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Assume responsibility for own learning and continuing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whilst studying and similarly in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Foundation year is made up of four modules each worth 30 credit points. Typically a student must complete 120 credits at level 3 to progress onto level 4 of their intended degree course. All students will be provided with the University regulations. Full details of each module will be provided in module descriptors and student module guides.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For all students, progression from the Foundation year to level 4 of their intended degree course requires passing of all modules.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Assessment of English Language competency is part of the Academic English module and passing of this module equals attainment of a score of IELTS 6.0 (with no element below 5.5) or equivalent.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Development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BU3002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new occ start each TB</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Academic English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BU3001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3 &amp; 4</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Foundations of Business Management and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BL3001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3 &amp; 4</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Mathematical Skills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BU3003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3 &amp; 4</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programme has been designed to take account of the KU curriculum design principles. A wide range of teaching and learning methods will be employed to reflect the diversity of students on the programme and to embrace the principles of an inclusive curriculum that is effective for all. The focus of the teaching and learning is to develop a range of academic and study skills, including elements of effective critical thinking that prepare students for successful study, not only at level 4, but beyond and to maximise their chances of obtaining the highest possible degree awards.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As the Foundation year is seen as a ‘stepping stone’ from Further Education to level 4, the teaching strategies are designed to help develop students as independent learners as the year progresses, whilst recognising that the students are “on a journey” from their entry point to their ultimate successful transition to level 4.</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relatively small class sizes, which are a key feature of the learning environment GISMA, allow significant interaction and individual monitoring of students by lecturing staff. Lectures use active learning techniques through the use of question and answer sessions, utilising teaching aids such as mini white boards, small group presentations etc. Active learning techniques promote effective engagement by students and provide many opportunities for formative assessment activities that result in near immediate feedback to the students. Additional learning is available through a variety of online resources, which allows formative assessment of understanding and the application of knowledge outside formal class time. These include the use of web-based activities, online testing and accessibility to material via their mobile devices through the college’s VLE Camvas. Students are directed towards independent study where appropriate, both as enhancement to topics studied or for stand-alone topics.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Collaborative and group work activities are key components of the teaching and learning strategy in most modules of the programme, in some cases these provide opportunities for summative assessment. Effective group work is considered a vital skill for success both within the students’ intended degree routes but in the wider context of employability.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NoSpacing"/>
        <w:jc w:val="both"/>
        <w:rPr>
          <w:rFonts w:ascii="Arial" w:eastAsia="Arial" w:hAnsi="Arial" w:cs="Arial"/>
          <w:sz w:val="24"/>
          <w:szCs w:val="24"/>
        </w:rPr>
      </w:pPr>
      <w:r w:rsidRPr="2030048C">
        <w:rPr>
          <w:rFonts w:ascii="Arial" w:eastAsia="Arial" w:hAnsi="Arial" w:cs="Arial"/>
          <w:sz w:val="22"/>
          <w:szCs w:val="22"/>
        </w:rPr>
        <w:t>At the heart of the programme lies the combination of theory, business practice and the development of skills - those required in the immediate future for study and those subsequently required for employment. Lecturing staff are well qualified and bring a wealth of current commercial experience to the programme, whilst industry guest speakers provide additional opportunities to relate these to practice. Furthermore, assignments will typically require substantial primary and secondary research to be undertaken, thereby ensuring students progressively develop research skills throughout the programme. Assessments are presented in a range of formats including formal reports, presentations, IT based formats and more traditional testing methods.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capstone project element of the Academic and Professional Development module will allow students to bring together and demonstrate the skills developed across the programme to research a topic specific to the degree they intend to study. Students will keep a research log/diary of their work, the information they have retrieved and how they have analysed this to generate their final poster presentation. It is expected that the project presentations will take place at the University and that staff involved in the students' chosen degree pathways will be involved in the assessment process; this should further enhance the transitional process from Foundation to level 4 studies.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All modules incorporate a mixture of both formative and summative approaches. The assessment strategy for the programme as a whole has been designed to expose students to the full range of assessment type that they will encounter at level 4 and beyond.  Formative assessment and feedback is designed to practice particular skills and to allow students to maximise the impact of the feedback towards tackling summative assessments.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Students will have a number of opportunities to sample level 4 lectures and activities at the University over the Foundation year and the college timetable is designed to facilitate these opportunities. The university based activities will be designed to reinforce the skills development the students are undertaking, the differences in learning within the HE environment and, by reflection, to establish any additional learning strategies they may need to succeed in level 4. </w:t>
      </w:r>
    </w:p>
    <w:p w:rsidRPr="2030048C" w:rsidP="2030048C">
      <w:pPr>
        <w:jc w:val="both"/>
        <w:rPr>
          <w:rFonts w:ascii="Arial" w:eastAsia="Arial" w:hAnsi="Arial" w:cs="Arial"/>
          <w:sz w:val="24"/>
          <w:szCs w:val="24"/>
        </w:rPr>
      </w:pPr>
      <w:r w:rsidRPr="2030048C">
        <w:rPr>
          <w:rFonts w:ascii="Arial" w:eastAsia="Arial" w:hAnsi="Arial" w:cs="Arial"/>
          <w:sz w:val="22"/>
          <w:szCs w:val="22"/>
        </w:rPr>
        <w:t> </w:t>
      </w:r>
    </w:p>
    <w:p w:rsidRPr="2030048C" w:rsidP="2030048C">
      <w:pPr>
        <w:jc w:val="both"/>
        <w:rPr>
          <w:rFonts w:ascii="Arial" w:eastAsia="Arial" w:hAnsi="Arial" w:cs="Arial"/>
          <w:sz w:val="24"/>
          <w:szCs w:val="24"/>
        </w:rPr>
      </w:pPr>
      <w:r w:rsidRPr="2030048C">
        <w:rPr>
          <w:rFonts w:ascii="Arial" w:eastAsia="Arial" w:hAnsi="Arial" w:cs="Arial"/>
          <w:sz w:val="22"/>
          <w:szCs w:val="22"/>
        </w:rPr>
        <w:t>In the design of the programme is has been recognised that a proportion of those for whom the foundation programme is designed have been unsuccessful in programmes containing high proportions of formal examination. The assessment strategy of the programme as a whole has been designed to allow students to demonstrate their skills, knowledge and understanding through as wide a range of assessments as possible. Formal examinations have been minimised and where time constrained testing is used this has mainly been designed as short structured in-class tests or online MCQ tests. The bulk of the assessment is in the form of coursework assessments, where these are substantial pieces of work interim deadlines and milestones have been created to aid students in developing the wider skills of planning and time management (full details in the module descriptors). The programme as a whole incorporates some elements of formal time constrained assessment (in-class tests &amp; exams) as these remain a feature of some modules at Level 4 and beyond.  Where these methods are employed in the Foundation Year modules formative practice is incorporated to build student confidence.</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2"/>
          <w:szCs w:val="22"/>
        </w:rPr>
        <w:t>Students at level 3 on Foundation programmes often require additional support reflecting the nature of previous educational background upon entry. GISMA Staff bring a wealth of experience in fostering a smooth transition of students with widely differing previous experiences through to becoming successful independent learners in Higher Education. As such students on the International Foundation Year will be supported through the following mechanisms: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are supported by a range of academic staff which include: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2"/>
          <w:szCs w:val="22"/>
        </w:rPr>
        <w:t>A Course Director for each pathway to help students understand the programme structure.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2"/>
          <w:szCs w:val="22"/>
        </w:rPr>
        <w:t xml:space="preserve">A Module Leader for each module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2"/>
          <w:szCs w:val="22"/>
        </w:rPr>
        <w:t>A Personal Tutor to provide academic and personal support</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2"/>
          <w:szCs w:val="22"/>
        </w:rPr>
        <w:t>Access to the University programme leaders of the degree routes students intend to study, who can offer subject-specific advice.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In addition students are supported by a range of specialist staff including:</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Programme administrators both at the College and the University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 substantial Academic Learning Centre that provides Academic Skills support.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In addition students receive guidance and can input to the development of their course by:-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 An induction period at the beginning of the academic session held jointly by Kingston University and GISMA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Canvas  – an on-line interactive intranet and learning environment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Student Staff Liaison Committee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Opportunities to undertake student representative roles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Students will be introduced to many of the support systems during induction. During this week students will undertake orientation exercises designed to help them familiarise their way around GISMA campuses. The goal is to ensure students understand their ‘dual citizenship’ of the institutions, the advantages this confers and how support is distributed between Kingston and GISMA.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are assigned to an academic member of staff as their personal tutor. The role of the personal tutor scheme is to establish a rapport between students and staff and to help personalise the student educational experience. The personal tutor scheme is embedded within the Academic and Professional Development module where considerable support is provided towards successful study. The initial meeting is designed to introduce students to their Personal Development Portfolio (PDP) and their role in fostering academic engagement and achievement.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At the beginning of the year personal tutors will meet with students to undertake a skills audit and to highlight the support provision, both within GISMA and Kingston in developing a range of skills. Students are asked to develop a time and learning planner in the first few weeks and they reflect on its impact in conjunction with their personal tutor in subsequent meetings. Further meetings allow monitoring of progress, the signposting of skills development, how to utilise feedback and to build confidence in the transition toward study in Higher Education. To maximise the understanding and utilisation of feedback, a number of exercises will be undertaken within the module, aimed at improving engagement with feedback and in helping to develop independent learning. Students are encouraged to engage with their PDP on a weekly basis, identifying activities undertaken and skills developed. Routine audits of engagement with these are undertaken in taught sessions.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As personal tutors are GISMA University staff and students at the end of the Foundation year progress to the University, the tutors also play a crucial role in the ‘handover’ of students to their respective course directors. All students will be given the opportunity for an exit interview where achievements are highlighted and opportunities for a ‘head start’ to level 4 discussed.  Tutors are able to provide detailed information for the respective course directors on the students’ achievements, skills-set and individual’s needs, smoothing the students’ progression onto their destination degree pathway.</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Kingston and GISMA have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Annual review and development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Substantive review undertaken at the subject level</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 evaluation</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Teaching Evaluation</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15"/>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BU3001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BU3003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BL3001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BU3002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NoSpacing">
    <w:name w:val="MsoNoSpac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C81E8D1-40E4-4D3F-9C05-20C9B3C4EA6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