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Business Management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06/09/2024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15/12/2025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7</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Management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London College of Business Studies, UK</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Business Management</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Diploma in Higher Education in Business Management</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Certificate in Higher Education in Business Management</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UPBMT1BMT21</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UFBMT1BMT21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 with Foundation year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Business Management with Foundation year</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Certificate in Higher Education in Business Management with Foundation year</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Diploma in Higher Education in Business Management with Foundation year</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UPBMT1BMT52</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UFBMT1BMT52</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London College of Business Studies, UK</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London College of Business Studies, UK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qualifications for the programme are: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Level 3 entry: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From A levels:             64 points from A2 subjects.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BTEC:                         64 points from QCFBED</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Access Diploma:         Pass in Access course with minimum of 60 credits of which 45 must be at level 3.</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Plus:                            GCSEs at grade C/4 including English and Mathematics.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minimum IELTS score of 6 (with min 5.5 in any component) or equivalent is required for those for whom English is not their first language.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Mature applicants with vocational experience may be considered but offers will be subject to interview.</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Equivalent qualifications will be considered but offers will be subject to interview.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Level 4 entry: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From A levels:             120 points from A2 subjects.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BTEC:                         120 points from QCFBED</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Access Diploma:         Pass in Access course with minimum of 60 credits of which 45 must be at level 3.</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Plus:                            GCSEs at grade C/4 including English and Mathematics.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minimum IELTS score of 6 (with min 5.5 in any component) or equivalent is required for those for whom English is not their first language.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Mature applicants with vocational experience may be considered but offers will be subject to interview.</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Equivalent qualifications will be considered but offers will be subject to interview. </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Association for the Advancement of Collegiate Schools of Business (AACSB)</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aims to:</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in students the skills required to secure and thrive in graduate-level employment, research, further study and lifelong learning</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in students their ability to recognise their skills, evidence them and articulate them</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Prepare graduates for business and management roles in all types of organisations and sectors.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the in-depth knowledge and understanding of the core elements of business and management</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students with the opportunity to acquire technical qualifications and connections to industry.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critically evaluate complex business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data to identify and solve unstructured business problems, and make evidence-based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current and emerging digital and technological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an in-depth knowledge and understanding and of the key functional business areas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an enterprising mindset to create value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business opportunities and make a difference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detailed and critical understanding of how business elements interrelate and affect overall organisational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Interpret, analyse, evaluate and draw inferences from business information and other relevant information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in diverse environments, and with others and get things done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awareness and understanding of current issues of global concern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relevant critical, creative or entrepreneurial skills to deal with management problems and issues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and present themselves in a professional manner appropriate for the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 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Organisations and People BH4105.</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 Sustainable Responsible Management BS5205.</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Data and Technology in Business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Global Business Environments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Marketing &amp; Sales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BM4800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Organisations &amp; People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BH4105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The outstanding 30 credits from level 4 can be trailed into level 5 and must be passed before progression to level 6.</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Business Management.</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Business Management</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Accounting &amp; Financial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BA5812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Business Design Thinking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BS5404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Principles and Practices of Modern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Sustainable and Responsible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BS5205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This course permits progression from level 5 to level 6 with 90 credits at level 5 or above. The outstanding 30 credits from level 5 can be trailed into level 6 and must be passed before consideration for an award. </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in Business Management.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Building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CRM and Customer Success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BM6212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Innovation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BS6701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Leadership, Transformation and Complexity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BH6016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60 credits at level 6 are eligible for the award of BSC in Business Management.</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who successfully complete 120 credits at level 6 are eligible for the award of BSc (Hons) in Business Management.</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 with Foundation year</w:t>
      </w:r>
    </w:p>
    <w:p w:rsidR="008B5CAF" w:rsidRPr="008B5CAF" w:rsidP="008B5CAF" w14:textId="77777777">
      <w:pPr>
        <w:rPr>
          <w:rFonts w:eastAsia="Arial"/>
        </w:rPr>
      </w:pPr>
    </w:p>
    <w:p w:rsidR="035B6837" w:rsidP="2030048C" w14:paraId="195B052D" w14:textId="16FF98F4">
      <w:pPr>
        <w:rPr>
          <w:rFonts w:ascii="Arial" w:eastAsia="Arial" w:hAnsi="Arial" w:cs="Arial"/>
          <w:color w:val="FF0000"/>
          <w:sz w:val="22"/>
          <w:szCs w:val="22"/>
          <w:lang w:val="en-GB"/>
        </w:rPr>
      </w:pPr>
    </w:p>
    <w:tbl>
      <w:tblPr>
        <w:tblW w:w="9133"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733"/>
        <w:gridCol w:w="1305"/>
        <w:gridCol w:w="1623"/>
        <w:gridCol w:w="765"/>
        <w:gridCol w:w="795"/>
      </w:tblGrid>
      <w:tr w14:paraId="062AECAD"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3A510DD" w14:textId="516E63D9">
            <w:pPr>
              <w:rPr>
                <w:rFonts w:ascii="Arial" w:eastAsia="Arial" w:hAnsi="Arial" w:cs="Arial"/>
                <w:sz w:val="24"/>
                <w:szCs w:val="24"/>
              </w:rPr>
            </w:pPr>
            <w:r w:rsidRPr="540725A5" w:rsidR="073AEBF5">
              <w:rPr>
                <w:rFonts w:ascii="Arial" w:eastAsia="Arial" w:hAnsi="Arial" w:cs="Arial"/>
                <w:b/>
                <w:bCs/>
                <w:sz w:val="24"/>
                <w:szCs w:val="24"/>
              </w:rPr>
              <w:t>Level 3</w:t>
            </w:r>
          </w:p>
        </w:tc>
      </w:tr>
      <w:tr w14:paraId="130F3C29"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13C7877" w14:textId="143DB801">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 with Foundation year</w:t>
            </w:r>
          </w:p>
        </w:tc>
      </w:tr>
      <w:tr w14:paraId="391AAB59"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857E6F1" w14:textId="5E92D1A0">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912B707" w14:textId="1CCCAF11">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61148C" w14:textId="6A900F43">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64CE928A" w14:textId="621FC4AE">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73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8C22397" w14:textId="7A089F7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30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9A4F69" w14:textId="157D9FD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6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5016C82" w14:textId="56A40D1F">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7336DA" w14:textId="0393FB83">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3B77BB" w14:textId="1DA07574">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39E36728"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381FE6D" w14:textId="0CD33AE0">
            <w:pPr>
              <w:rPr>
                <w:rFonts w:ascii="Arial" w:eastAsia="Arial" w:hAnsi="Arial" w:cs="Arial"/>
                <w:sz w:val="24"/>
                <w:szCs w:val="24"/>
                <w:lang w:val="en-GB"/>
              </w:rPr>
            </w:pPr>
            <w:r w:rsidRPr="2030048C" w:rsidR="073AEBF5">
              <w:rPr>
                <w:rFonts w:ascii="Arial" w:eastAsia="Arial" w:hAnsi="Arial" w:cs="Arial"/>
                <w:sz w:val="24"/>
                <w:szCs w:val="24"/>
                <w:lang w:val="en-GB"/>
              </w:rPr>
              <w:t>Applying Business Numerical Concepts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38ACB0"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BD3002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AC3A606"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1E8BAF"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BB7AB"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4E0C8"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D983C6B"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1768154D" w14:textId="0886C6F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39E36729"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Introduction to Business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BD3003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39E3672A"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Marketing and Customer Care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BD3004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39E3672B"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Professional and Personal Skills for Business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BD3001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40725A5" w14:paraId="5CE98984" w14:textId="2D2F3ED7">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4"/>
          <w:szCs w:val="24"/>
        </w:rPr>
        <w:t>The approach to teaching, learning and assessment supports the programme aims to ensure that graduates have the skills and knowledge to secure and thrive in graduate-level employment, research, further study and lifelong learning. </w:t>
      </w:r>
    </w:p>
    <w:p w:rsidRPr="2030048C" w:rsidP="2030048C">
      <w:pPr>
        <w:rPr>
          <w:rFonts w:ascii="Arial" w:eastAsia="Arial" w:hAnsi="Arial" w:cs="Arial"/>
          <w:sz w:val="24"/>
          <w:szCs w:val="24"/>
        </w:rPr>
      </w:pPr>
      <w:r w:rsidRPr="2030048C">
        <w:rPr>
          <w:rFonts w:ascii="Arial" w:eastAsia="Arial" w:hAnsi="Arial" w:cs="Arial"/>
          <w:sz w:val="24"/>
          <w:szCs w:val="24"/>
        </w:rPr>
        <w:t>Much of the learning and teaching is through project- and problem-based activities, wherever possible informed and or delivered by current practitioners as well as academics.  This approach also allows co-construction with students by encouraging and supporting them to grow from being “fed facts” to developing knowledge, understanding and critical skills through exploration of subjects that interest them.</w:t>
      </w:r>
    </w:p>
    <w:p w:rsidRPr="2030048C" w:rsidP="2030048C">
      <w:pPr>
        <w:rPr>
          <w:rFonts w:ascii="Arial" w:eastAsia="Arial" w:hAnsi="Arial" w:cs="Arial"/>
          <w:sz w:val="24"/>
          <w:szCs w:val="24"/>
        </w:rPr>
      </w:pPr>
      <w:r w:rsidRPr="2030048C">
        <w:rPr>
          <w:rFonts w:ascii="Arial" w:eastAsia="Arial" w:hAnsi="Arial" w:cs="Arial"/>
          <w:sz w:val="24"/>
          <w:szCs w:val="24"/>
        </w:rPr>
        <w:t>The industry-informed approach to teaching is further underpinned by the approach to assessment, which is, wherever possible, industry relevant and authentic – further preparing our graduates for the tasks and challenges they will face in graduate roles.</w:t>
      </w:r>
    </w:p>
    <w:p w:rsidRPr="2030048C" w:rsidP="2030048C">
      <w:pPr>
        <w:rPr>
          <w:rFonts w:ascii="Arial" w:eastAsia="Arial" w:hAnsi="Arial" w:cs="Arial"/>
          <w:sz w:val="24"/>
          <w:szCs w:val="24"/>
        </w:rPr>
      </w:pPr>
      <w:r w:rsidRPr="2030048C">
        <w:rPr>
          <w:rFonts w:ascii="Arial" w:eastAsia="Arial" w:hAnsi="Arial" w:cs="Arial"/>
          <w:sz w:val="24"/>
          <w:szCs w:val="24"/>
        </w:rPr>
        <w:t>In addition to those currently in practice, and practice-based staff providing students with connections to industry and the “real world”, research-active staff expose students to the latest research developments.</w:t>
      </w:r>
    </w:p>
    <w:p w:rsidRPr="2030048C" w:rsidP="2030048C">
      <w:pPr>
        <w:rPr>
          <w:rFonts w:ascii="Arial" w:eastAsia="Arial" w:hAnsi="Arial" w:cs="Arial"/>
          <w:sz w:val="24"/>
          <w:szCs w:val="24"/>
        </w:rPr>
      </w:pPr>
      <w:r w:rsidRPr="2030048C">
        <w:rPr>
          <w:rFonts w:ascii="Arial" w:eastAsia="Arial" w:hAnsi="Arial" w:cs="Arial"/>
          <w:sz w:val="24"/>
          <w:szCs w:val="24"/>
        </w:rPr>
        <w:t>Assessments typically require primary and secondary research to be undertaken, ensuring students progressively develop critical thinking and information literacy skills at each level of the programme, but require presentation in a format that is industry appropriate.  Assessment methods include reports, portfolios (group and individual), group design projects, presentations (group and individual), skills portfolios, placemat presentations, sales pitches, project plans, briefs, and prototype specifications and development.  .  The latest technology is used to enhance learning and collaborative working. The assessment strategy ensures that students have explicit formative opportunities for practice and feedforward designed to help them achieve their full potential in final (summative) assessment.</w:t>
      </w:r>
    </w:p>
    <w:p w:rsidRPr="2030048C" w:rsidP="2030048C">
      <w:pPr>
        <w:rPr>
          <w:rFonts w:ascii="Arial" w:eastAsia="Arial" w:hAnsi="Arial" w:cs="Arial"/>
          <w:sz w:val="24"/>
          <w:szCs w:val="24"/>
        </w:rPr>
      </w:pPr>
      <w:r w:rsidRPr="2030048C">
        <w:rPr>
          <w:rFonts w:ascii="Arial" w:eastAsia="Arial" w:hAnsi="Arial" w:cs="Arial"/>
          <w:sz w:val="24"/>
          <w:szCs w:val="24"/>
        </w:rPr>
        <w:t>Assessment loads are standardised at each level and wherever possible students will be given a choice in how they present their assessment to meet the learning outcomes.</w:t>
      </w:r>
    </w:p>
    <w:p w:rsidRPr="2030048C" w:rsidP="2030048C">
      <w:pPr>
        <w:rPr>
          <w:rFonts w:ascii="Arial" w:eastAsia="Arial" w:hAnsi="Arial" w:cs="Arial"/>
          <w:sz w:val="24"/>
          <w:szCs w:val="24"/>
        </w:rPr>
      </w:pPr>
      <w:r w:rsidRPr="2030048C">
        <w:rPr>
          <w:rFonts w:ascii="Arial" w:eastAsia="Arial" w:hAnsi="Arial" w:cs="Arial"/>
          <w:sz w:val="24"/>
          <w:szCs w:val="24"/>
        </w:rPr>
        <w:t>Our rich and inclusive curriculum is continually reviewed in consultation with our students, employers and industry to take account of new developments, seeking to keep the programme exciting and lively. A range of methods is used to actively engage students, including problem solving and enquiry-based learning, industry research and peer-assisted learning. Formative assessment develops key aims during the progress of a module.</w:t>
      </w:r>
    </w:p>
    <w:p w:rsidRPr="2030048C" w:rsidP="2030048C">
      <w:pPr>
        <w:rPr>
          <w:rFonts w:ascii="Arial" w:eastAsia="Arial" w:hAnsi="Arial" w:cs="Arial"/>
          <w:sz w:val="24"/>
          <w:szCs w:val="24"/>
        </w:rPr>
      </w:pPr>
      <w:r w:rsidRPr="2030048C">
        <w:rPr>
          <w:rFonts w:ascii="Arial" w:eastAsia="Arial" w:hAnsi="Arial" w:cs="Arial"/>
          <w:sz w:val="24"/>
          <w:szCs w:val="24"/>
        </w:rPr>
        <w:t>Presentation skills and group learning are developed throughout the programme to emulate the real-world situations in which our students may find themselves.</w:t>
      </w:r>
    </w:p>
    <w:p w:rsidRPr="2030048C" w:rsidP="2030048C">
      <w:pPr>
        <w:rPr>
          <w:rFonts w:ascii="Arial" w:eastAsia="Arial" w:hAnsi="Arial" w:cs="Arial"/>
          <w:sz w:val="24"/>
          <w:szCs w:val="24"/>
        </w:rPr>
      </w:pPr>
      <w:r w:rsidRPr="2030048C">
        <w:rPr>
          <w:rFonts w:ascii="Arial" w:eastAsia="Arial" w:hAnsi="Arial" w:cs="Arial"/>
          <w:sz w:val="24"/>
          <w:szCs w:val="24"/>
        </w:rPr>
        <w:t>The use of group work develops the essential skills of working with others and thus replicates business practice of collaborative teamwork; group work is supported through class activities in each module where it occurs. Students will also benefit substantially from the business simulations that are embedded in the programme and some of the modules. These simulations enable students to gain an understanding of key decision-making processes and the links between subject areas from a very early stage.</w:t>
      </w:r>
    </w:p>
    <w:p w:rsidRPr="2030048C" w:rsidP="2030048C">
      <w:pPr>
        <w:rPr>
          <w:rFonts w:ascii="Arial" w:eastAsia="Arial" w:hAnsi="Arial" w:cs="Arial"/>
          <w:sz w:val="24"/>
          <w:szCs w:val="24"/>
        </w:rPr>
      </w:pPr>
      <w:r w:rsidRPr="2030048C">
        <w:rPr>
          <w:rFonts w:ascii="Arial" w:eastAsia="Arial" w:hAnsi="Arial" w:cs="Arial"/>
          <w:sz w:val="24"/>
          <w:szCs w:val="24"/>
        </w:rPr>
        <w:t>To further support students, sessions led by personal tutors are integrated into modules. These sessions will focus on supporting the students in transitioning to, and from, Higher Education and develop skills for success.</w:t>
      </w:r>
    </w:p>
    <w:p w:rsidRPr="2030048C" w:rsidP="2030048C">
      <w:pPr>
        <w:rPr>
          <w:rFonts w:ascii="Arial" w:eastAsia="Arial" w:hAnsi="Arial" w:cs="Arial"/>
          <w:sz w:val="24"/>
          <w:szCs w:val="24"/>
        </w:rPr>
      </w:pPr>
      <w:r w:rsidRPr="2030048C">
        <w:rPr>
          <w:rFonts w:ascii="Arial" w:eastAsia="Arial" w:hAnsi="Arial" w:cs="Arial"/>
          <w:sz w:val="24"/>
          <w:szCs w:val="24"/>
        </w:rPr>
        <w:t>Personal tutors remain with a student throughout their degree studies. Feedback received and discussed in year one will feed forward into year two, and subsequently into the final year, further enabling tutors to direct tutees to appropriate sources of support, guidance and development.  Personal tutors will also be able to support students in discussions around their potential career path supported by their ePortfolio.</w:t>
      </w:r>
    </w:p>
    <w:p w:rsidRPr="2030048C" w:rsidP="2030048C">
      <w:pPr>
        <w:rPr>
          <w:rFonts w:ascii="Arial" w:eastAsia="Arial" w:hAnsi="Arial" w:cs="Arial"/>
          <w:sz w:val="24"/>
          <w:szCs w:val="24"/>
        </w:rPr>
      </w:pPr>
      <w:r w:rsidRPr="2030048C">
        <w:rPr>
          <w:rFonts w:ascii="Arial" w:eastAsia="Arial" w:hAnsi="Arial" w:cs="Arial"/>
          <w:sz w:val="24"/>
          <w:szCs w:val="24"/>
        </w:rPr>
        <w:t>In addition, early formative and summative assessment during the first five weeks of the programme is used to monitor student engagement with both in-class and online learning. Students who are considered at risk due to low engagement can be identified and advised by the personal tutor with the support of the student liaison team as appropriate.</w:t>
      </w:r>
    </w:p>
    <w:p w:rsidRPr="2030048C" w:rsidP="2030048C">
      <w:pPr>
        <w:rPr>
          <w:rFonts w:ascii="Arial" w:eastAsia="Arial" w:hAnsi="Arial" w:cs="Arial"/>
          <w:sz w:val="24"/>
          <w:szCs w:val="24"/>
        </w:rPr>
      </w:pPr>
      <w:r w:rsidRPr="2030048C">
        <w:rPr>
          <w:rFonts w:ascii="Arial" w:eastAsia="Arial" w:hAnsi="Arial" w:cs="Arial"/>
          <w:sz w:val="24"/>
          <w:szCs w:val="24"/>
        </w:rPr>
        <w:t>The Business Management programme has integrated the principles of the University’s Inclusive Curriculum Framework, to ensure inclusivity has been embedded throughout the academic cycle. Examples of these approaches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Assessments and delivery patterns that support students who commute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Students are co-creators of the assessment data – for example creating and answering surveys that are used within analytics assessments, and choosing to illustrate marketing concepts and lead discussion in the classroom</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Case studies and role models used in assessments reflect the diverse student body</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Teaching spaces, when appropriate, are set up in a carousel arrangement, so students are naturally positioned to discuss concepts in an inclusive manner</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Students are provided with the dates of all assessments at the start of each level of their studies so that they can manage their time. They are encouraged to discuss any concerns with their module leader and personal tutor, who will support them in reflecting on their feedback to improve on further assessments.</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jc w:val="both"/>
        <w:rPr>
          <w:rFonts w:ascii="Arial" w:eastAsia="Arial" w:hAnsi="Arial" w:cs="Arial"/>
          <w:sz w:val="24"/>
          <w:szCs w:val="24"/>
        </w:rPr>
      </w:pPr>
      <w:r w:rsidRPr="2030048C">
        <w:rPr>
          <w:rFonts w:ascii="Arial" w:eastAsia="Arial" w:hAnsi="Arial" w:cs="Arial"/>
          <w:sz w:val="24"/>
          <w:szCs w:val="24"/>
        </w:rPr>
        <w:t>Students are supported by:</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Personal Tutor.  Each student will have their own personal tutor who will normally stay with them throughout their course. The tutor will instigate regular meetings throughout the student’s studies, providing support, guidance and encouragement to their tutees throughout the programme. Topics such as academic performance, future skills development, career aims, and the tutee’s personal learning journey will be discussed.  Tutors not only support academic performance but also are there to listen to non-academic concerns such as adapting to a new environment/country, family concerns, illness or homesickness. They are also there to help celebrate success. Personal tutors are a great resource for international students, giving them a named academic who will be able to direct them to relevant services and procedures.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Year Lead. Each level of the programme has a year lead to follow up queries from the personal tutor and answer programme specific questions.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Director. The Course Director helps students to understand the programme structure, the academic regulations and what is required at the various levels of study.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The  Administrative Support team. The student support team helps with general administrative aspects such as timetables issues and providing letters.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The Student Academic Support team. This team can provide guidance on study plans or help arrange services such as Wellness or Disability. The team can also provide advice and guidance on academic matters such as mitigating circumstances and extensions.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Employability Mentor.  The Mentor will provide support and guidance for students on the development of their employability profile, future skills and career aims.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Careers and employability advice is provided by the academic team, with support from the Student Academic Support team, offering valuable guidance which develops students’ professional skills, supporting them with work experience opportunities and their learning from this and organising careers events.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Peer-Assisted Learning (PAL) student mentors. The PAL mentors are students who have previously studied the modules and provide support and mentoring to newer students.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Additional drop in sessions are provided to support students on the development of their academic skills, including accessing suitable sources, analysis, referencing and academic integrity. </w:t>
      </w:r>
    </w:p>
    <w:p w:rsidRPr="2030048C" w:rsidP="2030048C">
      <w:pPr>
        <w:numPr>
          <w:ilvl w:val="0"/>
          <w:numId w:val="17"/>
        </w:numPr>
        <w:ind w:left="720" w:hanging="360"/>
        <w:jc w:val="left"/>
        <w:rPr>
          <w:rFonts w:ascii="Arial" w:eastAsia="Arial" w:hAnsi="Arial" w:cs="Arial"/>
          <w:sz w:val="24"/>
          <w:szCs w:val="24"/>
        </w:rPr>
      </w:pPr>
      <w:hyperlink r:id="rId11" w:history="1">
        <w:r w:rsidRPr="2030048C">
          <w:rPr>
            <w:rFonts w:ascii="Arial" w:eastAsia="Arial" w:hAnsi="Arial" w:cs="Arial"/>
            <w:sz w:val="24"/>
            <w:szCs w:val="24"/>
          </w:rPr>
          <w:t>Technical support with IT</w:t>
        </w:r>
      </w:hyperlink>
      <w:r w:rsidRPr="2030048C">
        <w:rPr>
          <w:rFonts w:ascii="Arial" w:eastAsia="Arial" w:hAnsi="Arial" w:cs="Arial"/>
          <w:sz w:val="24"/>
          <w:szCs w:val="24"/>
        </w:rPr>
        <w:t xml:space="preserve"> and the use of software is available.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An induction week at the start of the programme to introduce students to the college, college life, what is expected of them as a student, the degree programme and each other.</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Ongoing re-induction sessions at appropriate points in the course.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 xml:space="preserve">Access to </w:t>
      </w:r>
      <w:hyperlink r:id="rId12" w:history="1">
        <w:r w:rsidRPr="2030048C">
          <w:rPr>
            <w:rFonts w:ascii="Arial" w:eastAsia="Arial" w:hAnsi="Arial" w:cs="Arial"/>
            <w:sz w:val="24"/>
            <w:szCs w:val="24"/>
          </w:rPr>
          <w:t>English language support</w:t>
        </w:r>
      </w:hyperlink>
      <w:r w:rsidRPr="2030048C">
        <w:rPr>
          <w:rFonts w:ascii="Arial" w:eastAsia="Arial" w:hAnsi="Arial" w:cs="Arial"/>
          <w:sz w:val="24"/>
          <w:szCs w:val="24"/>
        </w:rPr>
        <w:t>, which is particularly useful for international students who do not have English as their first language can be facilitated.</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Course representatives will be elected to enable regular student feed back to staff about the programme, along with student involvement of programme meetings and the college Quality and Standards Committee.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The college VLE Class 365 is a versatile on-line interactive intranet and learning environment.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can access advice on issues including disability, learning support, finance, accommodation, international students and accommodation through their Personal Tutor who will liaise with colleagues to enable the most appropriate support.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College and Kingston University have several methods for evaluating and improving the quality and standards of its provision. These include:</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Programme committee meetings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The College Quality and Standards Committee</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University School Education Committees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Annual Monitoring and Enhancement</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level surveys and the National Student Survey (NSS)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Moderation policies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Feedback from employers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871"/>
        <w:gridCol w:w="182"/>
        <w:gridCol w:w="1"/>
        <w:gridCol w:w="467"/>
        <w:gridCol w:w="1"/>
        <w:gridCol w:w="467"/>
        <w:gridCol w:w="1"/>
        <w:gridCol w:w="467"/>
        <w:gridCol w:w="1"/>
        <w:gridCol w:w="467"/>
        <w:gridCol w:w="1"/>
        <w:gridCol w:w="467"/>
        <w:gridCol w:w="1"/>
        <w:gridCol w:w="467"/>
        <w:gridCol w:w="1"/>
        <w:gridCol w:w="480"/>
        <w:gridCol w:w="1"/>
        <w:gridCol w:w="466"/>
        <w:gridCol w:w="1"/>
        <w:gridCol w:w="1"/>
        <w:gridCol w:w="460"/>
        <w:gridCol w:w="1"/>
        <w:gridCol w:w="467"/>
        <w:gridCol w:w="1"/>
        <w:gridCol w:w="480"/>
        <w:gridCol w:w="1"/>
        <w:gridCol w:w="458"/>
        <w:gridCol w:w="2"/>
        <w:gridCol w:w="1"/>
        <w:gridCol w:w="460"/>
        <w:gridCol w:w="1"/>
        <w:gridCol w:w="460"/>
        <w:gridCol w:w="1"/>
        <w:gridCol w:w="460"/>
        <w:gridCol w:w="1"/>
        <w:gridCol w:w="480"/>
        <w:gridCol w:w="1"/>
        <w:gridCol w:w="46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3</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9"/>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11"/>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BD3002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BD3004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BD3003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BD3001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BM4800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BH4105</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BS5404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BA5812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BM5016</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BS5205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BS6701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BM6212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BH6016</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kingstonuniversity.sharepoint.com/sites/mykingston/mysupport/ELD/Pages/default.aspx" TargetMode="Externa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information-and-technology-services/service-desk-portal/" TargetMode="External"/><Relationship Id="rId6" Type="http://schemas.openxmlformats.org/officeDocument/2006/relationships/customXml" Target="../customXml/item3.xml"/><Relationship Id="rId15" Type="http://schemas.openxmlformats.org/officeDocument/2006/relationships/styles" Target="styles.xml"/><Relationship Id="rId10" Type="http://schemas.openxmlformats.org/officeDocument/2006/relationships/footer" Target="footer1.xml"/><Relationship Id="rId14"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64376665-AB5E-47F6-85CC-AA2224CC1434}"/>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