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Association for the Advancement of Collegiate Schools of Business (AACSB)</w:t>
            </w:r>
          </w:p>
          <w:p w:rsidRPr="2030048C" w:rsidP="2030048C">
            <w:pPr>
              <w:pStyle w:val="p"/>
              <w:spacing w:before="0" w:after="0"/>
              <w:ind w:left="0" w:right="0"/>
              <w:rPr>
                <w:rStyle w:val="normaltextrun"/>
                <w:rFonts w:ascii="Times New Roman" w:eastAsia="Times New Roman" w:hAnsi="Times New Roman" w:cs="Times New Roman"/>
                <w:b w:val="0"/>
                <w:bCs w:val="0"/>
                <w:i/>
                <w:iCs/>
                <w:color w:val="000000"/>
                <w:sz w:val="24"/>
                <w:szCs w:val="24"/>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It is intended that this course will have exemptions for CIMA in line with BSc (Hons) Business Management, and we will also be seeking some exemptions for ACCA.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i/>
                <w:iCs/>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line="276" w:lineRule="auto"/>
        <w:ind w:left="0" w:right="0"/>
        <w:rPr>
          <w:rStyle w:val="normaltextrun"/>
          <w:rFonts w:ascii="Arial" w:eastAsia="Arial" w:hAnsi="Arial" w:cs="Arial"/>
          <w:i/>
          <w:iCs/>
          <w:color w:val="000000" w:themeColor="text1"/>
          <w:sz w:val="24"/>
          <w:szCs w:val="24"/>
          <w:shd w:val="clear" w:color="auto" w:fill="FFFFFF"/>
        </w:rPr>
      </w:pPr>
    </w:p>
    <w:p w:rsidRPr="2030048C" w:rsidP="2030048C">
      <w:pPr>
        <w:pStyle w:val="ListParagraph0"/>
        <w:spacing w:before="0" w:after="0" w:line="276" w:lineRule="auto"/>
        <w:ind w:left="0" w:right="0"/>
        <w:jc w:val="both"/>
        <w:rPr>
          <w:rStyle w:val="normaltextrun"/>
          <w:rFonts w:ascii="Calibri" w:eastAsia="Calibri" w:hAnsi="Calibri" w:cs="Calibri"/>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The main features of this programme:</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provide students with an in-depth knowledge and understanding of the core elements of business and management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provide students with a specialist knowledge of accounting and its role in business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develop the intellectual skills necessary to contribute to effective business practice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develop business related practical skills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prepare students for graduate employment, research, further </w:t>
      </w:r>
      <w:r w:rsidRPr="2030048C">
        <w:rPr>
          <w:rStyle w:val="normaltextrun"/>
          <w:rFonts w:ascii="Arial" w:eastAsia="Arial" w:hAnsi="Arial" w:cs="Arial"/>
          <w:color w:val="000000" w:themeColor="text1"/>
          <w:sz w:val="24"/>
          <w:szCs w:val="24"/>
          <w:shd w:val="clear" w:color="auto" w:fill="FFFFFF"/>
        </w:rPr>
        <w:t>study,</w:t>
      </w:r>
      <w:r w:rsidRPr="2030048C">
        <w:rPr>
          <w:rStyle w:val="normaltextrun"/>
          <w:rFonts w:ascii="Arial" w:eastAsia="Arial" w:hAnsi="Arial" w:cs="Arial"/>
          <w:color w:val="000000" w:themeColor="text1"/>
          <w:sz w:val="24"/>
          <w:szCs w:val="24"/>
          <w:shd w:val="clear" w:color="auto" w:fill="FFFFFF"/>
        </w:rPr>
        <w:t xml:space="preserve"> and lifelong learning by developing their intellectual, </w:t>
      </w:r>
      <w:r w:rsidRPr="2030048C">
        <w:rPr>
          <w:rStyle w:val="normaltextrun"/>
          <w:rFonts w:ascii="Arial" w:eastAsia="Arial" w:hAnsi="Arial" w:cs="Arial"/>
          <w:color w:val="000000" w:themeColor="text1"/>
          <w:sz w:val="24"/>
          <w:szCs w:val="24"/>
          <w:shd w:val="clear" w:color="auto" w:fill="FFFFFF"/>
        </w:rPr>
        <w:t>practical,</w:t>
      </w:r>
      <w:r w:rsidRPr="2030048C">
        <w:rPr>
          <w:rStyle w:val="normaltextrun"/>
          <w:rFonts w:ascii="Arial" w:eastAsia="Arial" w:hAnsi="Arial" w:cs="Arial"/>
          <w:color w:val="000000" w:themeColor="text1"/>
          <w:sz w:val="24"/>
          <w:szCs w:val="24"/>
          <w:shd w:val="clear" w:color="auto" w:fill="FFFFFF"/>
        </w:rPr>
        <w:t xml:space="preserve">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including the economic, social, and organisational environments and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to achieve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and evaluate current methods for financial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relevant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Business and Accounting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w:t>
      </w:r>
      <w:r w:rsidRPr="2030048C">
        <w:rPr>
          <w:rFonts w:ascii="Arial" w:eastAsia="Arial" w:hAnsi="Arial" w:cs="Arial"/>
          <w:color w:val="000000" w:themeColor="text1" w:themeShade="FF" w:themeTint="FF"/>
          <w:sz w:val="24"/>
          <w:szCs w:val="24"/>
        </w:rPr>
        <w:t xml:space="preserve">As per </w:t>
      </w:r>
      <w:hyperlink r:id="rId11" w:history="1">
        <w:r w:rsidRPr="2030048C">
          <w:rPr>
            <w:rFonts w:ascii="Arial" w:eastAsia="Arial" w:hAnsi="Arial" w:cs="Arial"/>
            <w:color w:val="000000" w:themeColor="text1" w:themeShade="FF" w:themeTint="FF"/>
            <w:sz w:val="24"/>
            <w:szCs w:val="24"/>
            <w:u w:val="single"/>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w:t>
      </w:r>
      <w:r w:rsidRPr="2030048C">
        <w:rPr>
          <w:rFonts w:ascii="Arial" w:eastAsia="Arial" w:hAnsi="Arial" w:cs="Arial"/>
          <w:color w:val="000000" w:themeColor="text1" w:themeShade="FF" w:themeTint="FF"/>
          <w:sz w:val="24"/>
          <w:szCs w:val="24"/>
        </w:rPr>
        <w:t xml:space="preserve">that </w:t>
      </w:r>
      <w:r w:rsidRPr="2030048C">
        <w:rPr>
          <w:rFonts w:ascii="Arial" w:eastAsia="Arial" w:hAnsi="Arial" w:cs="Arial"/>
          <w:color w:val="000000" w:themeColor="text1" w:themeShade="FF" w:themeTint="FF"/>
          <w:sz w:val="24"/>
          <w:szCs w:val="24"/>
        </w:rPr>
        <w:t xml:space="preserve">all option modules </w:t>
      </w:r>
      <w:r w:rsidRPr="2030048C">
        <w:rPr>
          <w:rFonts w:ascii="Arial" w:eastAsia="Arial" w:hAnsi="Arial" w:cs="Arial"/>
          <w:color w:val="000000" w:themeColor="text1" w:themeShade="FF" w:themeTint="FF"/>
          <w:sz w:val="24"/>
          <w:szCs w:val="24"/>
        </w:rPr>
        <w:t xml:space="preserve">listed below </w:t>
      </w:r>
      <w:r w:rsidRPr="2030048C">
        <w:rPr>
          <w:rFonts w:ascii="Arial" w:eastAsia="Arial" w:hAnsi="Arial" w:cs="Arial"/>
          <w:color w:val="000000" w:themeColor="text1" w:themeShade="FF" w:themeTint="FF"/>
          <w:sz w:val="24"/>
          <w:szCs w:val="24"/>
        </w:rPr>
        <w:t xml:space="preserve">are delivered. </w:t>
      </w:r>
      <w:r w:rsidRPr="2030048C">
        <w:rPr>
          <w:rFonts w:ascii="Arial" w:eastAsia="Arial" w:hAnsi="Arial" w:cs="Arial"/>
          <w:color w:val="000000" w:themeColor="text1" w:themeShade="FF" w:themeTint="FF"/>
          <w:sz w:val="24"/>
          <w:szCs w:val="24"/>
        </w:rPr>
        <w:t xml:space="preserve">However, </w:t>
      </w:r>
      <w:r w:rsidRPr="2030048C">
        <w:rPr>
          <w:rFonts w:ascii="Arial" w:eastAsia="Arial" w:hAnsi="Arial" w:cs="Arial"/>
          <w:color w:val="000000" w:themeColor="text1" w:themeShade="FF" w:themeTint="FF"/>
          <w:sz w:val="24"/>
          <w:szCs w:val="24"/>
        </w:rPr>
        <w:t>for various reasons, such as demand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availability of </w:t>
      </w:r>
      <w:r w:rsidRPr="2030048C">
        <w:rPr>
          <w:rFonts w:ascii="Arial" w:eastAsia="Arial" w:hAnsi="Arial" w:cs="Arial"/>
          <w:color w:val="000000" w:themeColor="text1" w:themeShade="FF" w:themeTint="FF"/>
          <w:sz w:val="24"/>
          <w:szCs w:val="24"/>
        </w:rPr>
        <w:t xml:space="preserve">option modules may </w:t>
      </w:r>
      <w:r w:rsidRPr="2030048C">
        <w:rPr>
          <w:rFonts w:ascii="Arial" w:eastAsia="Arial" w:hAnsi="Arial" w:cs="Arial"/>
          <w:color w:val="000000" w:themeColor="text1" w:themeShade="FF" w:themeTint="FF"/>
          <w:sz w:val="24"/>
          <w:szCs w:val="24"/>
        </w:rPr>
        <w:t xml:space="preserve">vary </w:t>
      </w:r>
      <w:r w:rsidRPr="2030048C">
        <w:rPr>
          <w:rFonts w:ascii="Arial" w:eastAsia="Arial" w:hAnsi="Arial" w:cs="Arial"/>
          <w:color w:val="000000" w:themeColor="text1" w:themeShade="FF" w:themeTint="FF"/>
          <w:sz w:val="24"/>
          <w:szCs w:val="24"/>
        </w:rPr>
        <w:t xml:space="preserve">from year to year or </w:t>
      </w:r>
      <w:r w:rsidRPr="2030048C">
        <w:rPr>
          <w:rFonts w:ascii="Arial" w:eastAsia="Arial" w:hAnsi="Arial" w:cs="Arial"/>
          <w:color w:val="000000" w:themeColor="text1" w:themeShade="FF" w:themeTint="FF"/>
          <w:sz w:val="24"/>
          <w:szCs w:val="24"/>
        </w:rPr>
        <w:t xml:space="preserve">between </w:t>
      </w:r>
      <w:r w:rsidRPr="2030048C">
        <w:rPr>
          <w:rFonts w:ascii="Arial" w:eastAsia="Arial" w:hAnsi="Arial" w:cs="Arial"/>
          <w:color w:val="000000" w:themeColor="text1" w:themeShade="FF" w:themeTint="FF"/>
          <w:sz w:val="24"/>
          <w:szCs w:val="24"/>
        </w:rPr>
        <w:t>teaching blocks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University will notify </w:t>
      </w: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as soon as these circumstances arise by email.</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who find that they have a particular interest in </w:t>
      </w:r>
      <w:r w:rsidRPr="2030048C">
        <w:rPr>
          <w:rFonts w:ascii="Arial" w:eastAsia="Arial" w:hAnsi="Arial" w:cs="Arial"/>
          <w:color w:val="000000" w:themeColor="text1" w:themeShade="FF" w:themeTint="FF"/>
          <w:sz w:val="24"/>
          <w:szCs w:val="24"/>
        </w:rPr>
        <w:t>accounting</w:t>
      </w:r>
      <w:r w:rsidRPr="2030048C">
        <w:rPr>
          <w:rFonts w:ascii="Arial" w:eastAsia="Arial" w:hAnsi="Arial" w:cs="Arial"/>
          <w:color w:val="000000" w:themeColor="text1" w:themeShade="FF" w:themeTint="FF"/>
          <w:sz w:val="24"/>
          <w:szCs w:val="24"/>
        </w:rPr>
        <w:t xml:space="preserve"> during the first year, may sit an additional assessment at the end of Level 4. Students wishing to transfer will need to inform the Student Office of this intention by a given deadline, and this deadline will be communicated to students to ensure that all students have the opportunity to make this request.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If all modules are passed along with the additional assessment, they may transfer onto the second year of the BSc Accounting and Finance degree to further their interest in the </w:t>
      </w:r>
      <w:r w:rsidRPr="2030048C">
        <w:rPr>
          <w:rFonts w:ascii="Arial" w:eastAsia="Arial" w:hAnsi="Arial" w:cs="Arial"/>
          <w:color w:val="000000" w:themeColor="text1" w:themeShade="FF" w:themeTint="FF"/>
          <w:sz w:val="24"/>
          <w:szCs w:val="24"/>
        </w:rPr>
        <w:t>accounting</w:t>
      </w:r>
      <w:r w:rsidRPr="2030048C">
        <w:rPr>
          <w:rFonts w:ascii="Arial" w:eastAsia="Arial" w:hAnsi="Arial" w:cs="Arial"/>
          <w:color w:val="000000" w:themeColor="text1" w:themeShade="FF" w:themeTint="FF"/>
          <w:sz w:val="24"/>
          <w:szCs w:val="24"/>
        </w:rPr>
        <w:t xml:space="preserve"> field.</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Management.  Those students who wish to do this, will be required to study BM5201 Marketing Management as their level 5 elective.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60 credits of option modules, but at least one must be a 30-credit module. No more than two 15-credit modules can be studied at any level of study.</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60 credits (including the core modules) at level 6 are eligible for the award of BSc Business and Accounting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 with Professional Placement</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 with Professional Placement</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are able to progress to level 5 are also able to transfer to Level 5 BSc (Hons) Business Management.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2CBD8C5">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Decision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Developing Web Applications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Entrepreneurship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Rapid App Development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Semester 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5, students can choose 30 credits of option modules, either one 30-credit module or two 15-credit modules (one from each teaching block).</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(including the core modules) at level 5 or above are eligible for the award of Diplo</w:t>
      </w:r>
      <w:r w:rsidRPr="2030048C">
        <w:rPr>
          <w:rStyle w:val="normaltextrun"/>
          <w:rFonts w:ascii="Arial" w:eastAsia="Arial" w:hAnsi="Arial" w:cs="Arial"/>
          <w:color w:val="000000" w:themeColor="text1" w:themeShade="FF" w:themeTint="FF"/>
          <w:sz w:val="24"/>
          <w:szCs w:val="24"/>
        </w:rPr>
        <w:t>ma of Higher Education in Business and Accounting.</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Decision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 and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CSR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Developing Web Applications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BO6203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ENTREPRENEURSHIP IN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Marketing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Selling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BM5212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PSYCHOLOGY FOR BUSINESS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Rapid App Development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SERVICE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BO6032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underlying teaching and learning philosophy is learning by doing, where students are active participants in the classroom, underpinned by authentic assessments where students have the opportunity to apply the skills and knowledge gained in contexts that reflect working practices. Assessment practices equip students with the skills needed in the current working environment by reflecting how businesses operate and how the accounting function sits within them.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Current practice is at the heart of the programme supported by theory and theoretical debate. A team of research active staff expose students to current research developments and practice, and industry guest speakers provide further opportunities for students to relate learning to real life situations.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From the first year, students are exposed to industry-standard business and accounting practices and the active learning environment enables students to develop relevant subject-specific skills along with team-working, negotiation, and presentation skills in a supportive environment with formative and peer feedback at the centre of the academic experience. Extensive use is made of interactive sessions to enable students to have sufficient time for practice and application of accounting approaches, development of IT skills, along with applying business theory to real-world cases to contextualise the knowledge they are developing and enable them to become work-ready graduates.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Skills and knowledge are extended and advanced in year two, enabling students to synthesise and apply the knowledge and skills which they have acquired throughout the first year. Students are expected to work on business concepts, issues, and concerns, rationalising alternative courses of action and justifying final output and conclusions.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Between levels 5 and 6, all students are encouraged to undertake a period of work experience, either via a year-long work placement or a shorter internship, in order to gain vital exposure to the business and accounting functions.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final year enables students to consolidate their knowledge through a capstone module and develop their critical thinking skills and the ability to work as an independent, autonomous learner.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students on this programme undertake learning journeys in three specific areas: Business Knowledge and Skills, Accounting Knowledge and Skills, and a series of Optional modules.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Business Knowledge and Skills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the end of the degree, students gain a broad knowledge in general business, covering the key business functional areas. At Level 4 students explore theories and practices of business organisations, their internal structures and interaction with the external economic, social, and technological environments in the Accountant’s Business Environment module. The Business Information Analysis module starts students on their data analysis journey, where they are introduced to the mathematics and IT required to deliver analytics in a business context, developing comprehensive spreadsheet and modelling skills which will underpin their quantitative studies application throughout their course.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Level 5 students explore the nature of the marketing function and of what marketers do. Whilst underpinned by marketing theory, the module focuses on the practical application of marketing in organisations, the impact that marketing can have on an organisation and also learn how to ‘brand’ themselves to assist with employability. Also, at this level, </w:t>
      </w:r>
      <w:r w:rsidRPr="2030048C">
        <w:rPr>
          <w:rFonts w:ascii="Arial" w:eastAsia="Arial" w:hAnsi="Arial" w:cs="Arial"/>
          <w:color w:val="171717"/>
          <w:sz w:val="24"/>
          <w:szCs w:val="24"/>
          <w:shd w:val="clear" w:color="auto" w:fill="FFFFFF"/>
        </w:rPr>
        <w:t xml:space="preserve">the concepts and knowledge of sustainable business and supply chain management are introduced in the Sustainable and Responsible Management module.  This focuses on managing organisations in a responsible way by looking at the ethical issues that emerge in the interactions between a business and its stakeholders and implementation of socially responsible and sustainable programmes and initiatives.  </w:t>
      </w:r>
      <w:r w:rsidRPr="2030048C">
        <w:rPr>
          <w:rFonts w:ascii="Arial" w:eastAsia="Arial" w:hAnsi="Arial" w:cs="Arial"/>
          <w:sz w:val="24"/>
          <w:szCs w:val="24"/>
        </w:rPr>
        <w:t xml:space="preserve">Students develop the skills necessary to make a positive contribution to management decision making while taking into consideration sustainability, ethical issues and social responsibility.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final year Building Business Strategy module provides a capstone opportunity to demonstrate the critical thinking, analytical and problem-solving skills that enable students to contribute to longer-term business development. Drawing upon knowledge acquired from both their business and accounting studies, students will learn how to provide competitive advantage to an organisation, supported by a critical evaluation of internal resources and competences and an understanding of stakeholders, contextual influences, and methods of growth.</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Accounting Knowledge and Skills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develop their knowledge of both Financial and Management Accounting, and Financial Reporting principles throughout the three levels of the degree. At level 4, the Management Accounting module develops students’ knowledge and understanding of management accounting techniques to support management in planning, controlling, and monitoring performance in a variety of business contexts. Alongside this, students are introduced to Financial Accounting for Business, where they </w:t>
      </w:r>
      <w:r w:rsidRPr="2030048C">
        <w:rPr>
          <w:rFonts w:ascii="Arial" w:eastAsia="Arial" w:hAnsi="Arial" w:cs="Arial"/>
          <w:color w:val="000000"/>
          <w:sz w:val="24"/>
          <w:szCs w:val="24"/>
          <w:shd w:val="clear" w:color="auto" w:fill="FFFFFF"/>
        </w:rPr>
        <w:t xml:space="preserve">will learn how to produce financial statements from the original source documents through the recording of transactions to the final production of a profit and loss account and balance sheet for a non-complex business. They also explore the subjective nature of financial accounting and its need for professional judgement, along with the concepts and principles that underlie financial accounting and reporting. To integrate the practitioner perspective, students will also gain practical experience of inputting data into accounting software and using spreadsheets to prepare financial information.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shd w:val="clear" w:color="auto" w:fill="FFFFFF"/>
        </w:rPr>
        <w:t>The Advanced Management Accounting module at level 5 extends students’ knowledge and understanding by exploring the provision and use of accounting information in management decision-making. Students will reflect on the purpose and uses of management accounting information, evaluate case study scenarios, discuss theoretical accounting concepts, and utilise a range of practical techniques to solve advanced management accounting related issues. In Advanced Financial Accounting for Business at level 6, students develop their knowledge by focusing on financial reporting requirements of corporate entities, both large and small and building on concepts already studied earlier on in the programme. Students also explore the key elements of the conceptual and regulatory frameworks that guide financial reporting and learn how to conduct an appraisal of financial statements of corporate entities, along with developing an understanding of the importance of ethics and corporate governance.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Option modules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also have the opportunity to take a number of option modules to complement their studies. These can focus on further aspects of the accounting field, such as Financial Investments, Auditing or Taxation, or extend their general business knowledge into areas such as Entrepreneurship and Innovation or deepen their understanding of the marketing field. Additionally, students can focus on more analysis and technological skills with Rapid App Development or Data Analytics for Business. The options modules provide students with the opportunity to tailor their programme to follow their particular interests.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Student Assessment Journey</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Xero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degree employs a range of assessments including practical assessments, in terms of both developing and communicating business solutions, accompanied by the key assessment methods of presentations, report writing, and examinations, which are developed and extended at each of the three academic levels. Assessments at levels four and five provide formative practice for similar assessments at later stages of the programme.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Report and academic writing</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writing reports and/or essays at each level, with clearly defined formats and objectives. They are strongly encouraged to make use of the Business and Law Academic Success Centre (BLASC) to get feedback on their work in advance of submission. Students will develop the ability to write accurately and concisely, and gain experience in writing for different business audiences, from executive summaries aimed at busy managers, to full business reports aimed at managers and other stakeholders.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Examinations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accounting-based subjects have a strong emphasis on examinations as the main form of assessment. This approach reflects the nature of the industry; students who decide to pursue an accounting career will be working under time pressure, expecting to display a high degree of knowledge and the ability to solve problems under time pressure. Students are fully prepared for these exams through general exam guidance in BA4203 and module specific guidance in other modules, formative opportunities to practice exam-style questions, and smaller timed tests to develop the experience of the exam environment.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The Navigate Employability programme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the writing and exam skills, other employability skills are also embedded within the course, starting with the Navigate programme which is delivered with BA4203 Management Accounting. These employability skills are embedded within the programme and assessed across the modules and levels of study.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Presentations:</w:t>
      </w:r>
      <w:r w:rsidRPr="2030048C">
        <w:rPr>
          <w:rFonts w:ascii="Arial" w:eastAsia="Arial" w:hAnsi="Arial" w:cs="Arial"/>
          <w:sz w:val="24"/>
          <w:szCs w:val="24"/>
        </w:rPr>
        <w:t xml:space="preserve"> Students will have formative opportunities to give presentations early on, along with assessed presentations in later levels. The feedback provided at each level is designed to feed into future assessments and students are encouraged to video their presentations for objective viewing and reflection.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IT skills</w:t>
      </w:r>
      <w:r w:rsidRPr="2030048C">
        <w:rPr>
          <w:rFonts w:ascii="Arial" w:eastAsia="Arial" w:hAnsi="Arial" w:cs="Arial"/>
          <w:sz w:val="24"/>
          <w:szCs w:val="24"/>
        </w:rPr>
        <w:t xml:space="preserve"> are developed in the first year Business Information Analysis module and the use of spreadsheets is actively encouraged in preparing accounting solutions in all years.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Communication Skills:</w:t>
      </w:r>
      <w:r w:rsidRPr="2030048C">
        <w:rPr>
          <w:rFonts w:ascii="Arial" w:eastAsia="Arial" w:hAnsi="Arial" w:cs="Arial"/>
          <w:sz w:val="24"/>
          <w:szCs w:val="24"/>
        </w:rPr>
        <w:t xml:space="preserve"> The use of essays, case studies and presentations, both in class and as part of formal assessment, aid students to develop professional communication skills and the ability to provide reasoned arguments and critical evaluation of both their own work and the work of others.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Team Working:</w:t>
      </w:r>
      <w:r w:rsidRPr="2030048C">
        <w:rPr>
          <w:rFonts w:ascii="Arial" w:eastAsia="Arial" w:hAnsi="Arial" w:cs="Arial"/>
          <w:sz w:val="24"/>
          <w:szCs w:val="24"/>
        </w:rPr>
        <w:t xml:space="preserve"> Teamwork in particular helps develop a myriad of varying skills from leadership qualities, working well with others, the ability to adapt and compromise, the skill of listening to others and respecting alternative viewpoints, as well as debating and challenging ideas, and presenting and defending their own ideas. These are all useful life skills that will be appreciated both in the workplace and beyond. In addition, specific employability initiatives such as CV writing, assessment centre experience and opportunities to develop resilience and reflection skills are built into the core academic curriculum.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Practical work skills:</w:t>
      </w:r>
      <w:r w:rsidRPr="2030048C">
        <w:rPr>
          <w:rFonts w:ascii="Arial" w:eastAsia="Arial" w:hAnsi="Arial" w:cs="Arial"/>
          <w:sz w:val="24"/>
          <w:szCs w:val="24"/>
        </w:rPr>
        <w:t xml:space="preserve"> Students develop comprehensive spreadsheet modelling skills in the first year designed to improve their confidence and competence in quantitative modelling, along with project management software in the second year. They also explore the structured query language (SQL) and HTML, which not only boosts their IT skills but also teaches them the transferable skill of attention to detail, which supports all other studies on the programme. Students also develop practical techniques in recording transactions and preparing financial statements for managers, along with financial statements following prescribed layouts and regulatory formats for external users.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specific employability recruitment exercises are undertaken. In the first year, students review the roles of accountants within business and complete a reflective exercise on their personal skills development in Management Accounting before preparing a CV in The Accountant’s Business Environment. In the second year, in the Advanced Management Accounting module, students engage in an assessment centre and give a team presentation on how they worked as a team to develop solutions for a case study example. In the final year, students give a professional presentation in the Advanced Financial Accounting module along with working on commercial awareness, analytical, critical, and creative thinking in giving elevator pitches and report writing responding to real-life briefs in the Strategy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Formative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which can ‘feed forward’ to help them reach their full potential in summative assessment, both in the module within which the feedback was obtained, and also in subsequent modules and learning. A range of methods will be selected to engage students actively, including problem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Independent Learning:</w:t>
      </w:r>
    </w:p>
    <w:p w:rsidRPr="2030048C" w:rsidP="2030048C">
      <w:pPr>
        <w:jc w:val="both"/>
        <w:rPr>
          <w:rFonts w:ascii="Arial" w:eastAsia="Arial" w:hAnsi="Arial" w:cs="Arial"/>
          <w:sz w:val="24"/>
          <w:szCs w:val="24"/>
        </w:rPr>
      </w:pPr>
      <w:r w:rsidRPr="2030048C">
        <w:rPr>
          <w:rFonts w:ascii="Arial" w:eastAsia="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using the software, completing assessments, and taking practice quizzes to monitor a student’s own progress through the syllabus. Guidance will be provided on which activities will support learning for each module on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The Business and Accounting programme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are set up in a carousel arrangement, so students are naturally positioned to discuss concepts in an inclusive manner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Academic Affairs Coordinator. The AAC can provide advice and guidance on academic matters such as mitigating circumstances and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and Employability team</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Peer-Assisted Learning (PAL) student mentors. The PAL mentors are students who have previously studied the modules and provide support and mentoring to newer students. </w:t>
      </w:r>
    </w:p>
    <w:p w:rsidRPr="2030048C" w:rsidP="2030048C">
      <w:pPr>
        <w:numPr>
          <w:ilvl w:val="0"/>
          <w:numId w:val="16"/>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Business and Law Academic Skills Centre (BLASC)</w:t>
        </w:r>
      </w:hyperlink>
      <w:r w:rsidRPr="2030048C">
        <w:rPr>
          <w:rFonts w:ascii="Arial" w:eastAsia="Arial" w:hAnsi="Arial" w:cs="Arial"/>
          <w:sz w:val="24"/>
          <w:szCs w:val="24"/>
        </w:rPr>
        <w:t>. This is a drop-in service for advice on academic skills. Both UK and international students find this service particularly useful for providing feedback on appropriate referencing.</w:t>
      </w:r>
    </w:p>
    <w:p w:rsidRPr="2030048C" w:rsidP="2030048C">
      <w:pPr>
        <w:numPr>
          <w:ilvl w:val="0"/>
          <w:numId w:val="16"/>
        </w:numPr>
        <w:ind w:left="720" w:hanging="360"/>
        <w:jc w:val="both"/>
        <w:rPr>
          <w:rFonts w:ascii="Arial" w:eastAsia="Arial" w:hAnsi="Arial" w:cs="Arial"/>
          <w:sz w:val="24"/>
          <w:szCs w:val="24"/>
        </w:rPr>
      </w:pPr>
      <w:hyperlink r:id="rId14"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6"/>
        </w:numPr>
        <w:ind w:left="720" w:hanging="360"/>
        <w:jc w:val="both"/>
        <w:rPr>
          <w:rFonts w:ascii="Arial" w:eastAsia="Arial" w:hAnsi="Arial" w:cs="Arial"/>
          <w:sz w:val="24"/>
          <w:szCs w:val="24"/>
        </w:rPr>
      </w:pPr>
      <w:hyperlink r:id="rId15" w:history="1">
        <w:r w:rsidRPr="2030048C">
          <w:rPr>
            <w:rFonts w:ascii="Arial" w:eastAsia="Arial" w:hAnsi="Arial" w:cs="Arial"/>
            <w:sz w:val="24"/>
            <w:szCs w:val="24"/>
          </w:rPr>
          <w:t>LinkedIn Learning</w:t>
        </w:r>
      </w:hyperlink>
      <w:r w:rsidRPr="2030048C">
        <w:rPr>
          <w:rFonts w:ascii="Arial" w:eastAsia="Arial" w:hAnsi="Arial" w:cs="Arial"/>
          <w:sz w:val="24"/>
          <w:szCs w:val="24"/>
        </w:rPr>
        <w:t xml:space="preserve"> videos that provide a broad range of business and IT training resources.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induction week at the start of the programme to introduce students to the university, university life, what is expected of them, the degree programme and each other.</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6"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7" w:history="1">
        <w:r w:rsidRPr="2030048C">
          <w:rPr>
            <w:rFonts w:ascii="Arial" w:eastAsia="Arial" w:hAnsi="Arial" w:cs="Arial"/>
            <w:sz w:val="24"/>
            <w:szCs w:val="24"/>
          </w:rPr>
          <w:t>Kingston Language Scheme</w:t>
        </w:r>
      </w:hyperlink>
      <w:r w:rsidRPr="2030048C">
        <w:rPr>
          <w:rStyle w:val="MsoHyperlink"/>
          <w:rFonts w:ascii="Arial" w:eastAsia="Arial" w:hAnsi="Arial" w:cs="Arial"/>
          <w:color w:val="0000FF"/>
          <w:sz w:val="24"/>
          <w:szCs w:val="24"/>
          <w:u w:val="single" w:color="0000FF"/>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Voice Committee and course representatives to enable students to feed back to staff about the programme.</w:t>
      </w:r>
    </w:p>
    <w:p w:rsidRPr="2030048C" w:rsidP="2030048C">
      <w:pPr>
        <w:numPr>
          <w:ilvl w:val="0"/>
          <w:numId w:val="16"/>
        </w:numPr>
        <w:ind w:left="720" w:hanging="360"/>
        <w:jc w:val="both"/>
        <w:rPr>
          <w:rFonts w:ascii="Arial" w:eastAsia="Arial" w:hAnsi="Arial" w:cs="Arial"/>
          <w:sz w:val="24"/>
          <w:szCs w:val="24"/>
        </w:rPr>
      </w:pPr>
      <w:hyperlink r:id="rId18"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9"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20"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21"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22" w:history="1">
        <w:r w:rsidRPr="2030048C">
          <w:rPr>
            <w:rFonts w:ascii="Arial" w:eastAsia="Arial" w:hAnsi="Arial" w:cs="Arial"/>
            <w:sz w:val="24"/>
            <w:szCs w:val="24"/>
          </w:rPr>
          <w:t>international student support</w:t>
        </w:r>
      </w:hyperlink>
      <w:r w:rsidRPr="2030048C">
        <w:rPr>
          <w:rStyle w:val="MsoHyperlink"/>
          <w:rFonts w:ascii="Arial" w:eastAsia="Arial" w:hAnsi="Arial" w:cs="Arial"/>
          <w:color w:val="0000FF"/>
          <w:sz w:val="24"/>
          <w:szCs w:val="24"/>
          <w:u w:val="single" w:color="0000FF"/>
        </w:rPr>
        <w:t>.</w:t>
      </w:r>
      <w:r w:rsidRPr="2030048C">
        <w:rPr>
          <w:rFonts w:ascii="Arial" w:eastAsia="Arial" w:hAnsi="Arial" w:cs="Arial"/>
          <w:sz w:val="24"/>
          <w:szCs w:val="24"/>
        </w:rPr>
        <w:t xml:space="preserve"> </w:t>
      </w:r>
    </w:p>
    <w:p w:rsidRPr="2030048C" w:rsidP="2030048C">
      <w:pPr>
        <w:numPr>
          <w:ilvl w:val="0"/>
          <w:numId w:val="16"/>
        </w:numPr>
        <w:ind w:left="720" w:hanging="360"/>
        <w:jc w:val="both"/>
        <w:rPr>
          <w:rFonts w:ascii="Arial" w:eastAsia="Arial" w:hAnsi="Arial" w:cs="Arial"/>
          <w:sz w:val="24"/>
          <w:szCs w:val="24"/>
        </w:rPr>
      </w:pPr>
      <w:hyperlink r:id="rId23" w:history="1">
        <w:r w:rsidRPr="2030048C">
          <w:rPr>
            <w:rFonts w:ascii="Arial" w:eastAsia="Arial" w:hAnsi="Arial" w:cs="Arial"/>
            <w:sz w:val="24"/>
            <w:szCs w:val="24"/>
          </w:rPr>
          <w:t>Disabled student support</w:t>
        </w:r>
      </w:hyperlink>
      <w:r w:rsidRPr="2030048C">
        <w:rPr>
          <w:rStyle w:val="MsoHyperlink"/>
          <w:rFonts w:ascii="Arial" w:eastAsia="Arial" w:hAnsi="Arial" w:cs="Arial"/>
          <w:color w:val="0000FF"/>
          <w:sz w:val="24"/>
          <w:szCs w:val="24"/>
          <w:u w:val="single" w:color="0000FF"/>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w:t>
      </w:r>
      <w:hyperlink r:id="rId24" w:history="1">
        <w:r w:rsidRPr="2030048C">
          <w:rPr>
            <w:rFonts w:ascii="Arial" w:eastAsia="Arial" w:hAnsi="Arial" w:cs="Arial"/>
            <w:sz w:val="24"/>
            <w:szCs w:val="24"/>
          </w:rPr>
          <w:t>International Student Advisory Centre</w:t>
        </w:r>
      </w:hyperlink>
      <w:r w:rsidRPr="2030048C">
        <w:rPr>
          <w:rFonts w:ascii="Arial" w:eastAsia="Arial" w:hAnsi="Arial" w:cs="Arial"/>
          <w:sz w:val="24"/>
          <w:szCs w:val="24"/>
        </w:rPr>
        <w:t xml:space="preserve"> (ISAC) which welcomes students on their entry to the UK and provides support throughout the student’s time at University. The IASC is based on the Kingston Hill campus, where the Business and Accounting is taught, and provides guidance on such items as immigration matters, living in the UK and healthcare in the UK for international students.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25" w:history="1">
        <w:r w:rsidRPr="2030048C">
          <w:rPr>
            <w:rFonts w:ascii="Arial" w:eastAsia="Arial" w:hAnsi="Arial" w:cs="Arial"/>
            <w:sz w:val="24"/>
            <w:szCs w:val="24"/>
          </w:rPr>
          <w:t>Union of Kingston Students</w:t>
        </w:r>
      </w:hyperlink>
      <w:r w:rsidRPr="2030048C">
        <w:rPr>
          <w:rFonts w:ascii="Arial" w:eastAsia="Arial" w:hAnsi="Arial" w:cs="Arial"/>
          <w:sz w:val="24"/>
          <w:szCs w:val="24"/>
        </w:rPr>
        <w:t>, which provides a wide variety of clubs and societies and social events, as well as supporting and providing guidance to students on a variety of academic issues.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Professional exemptions (CIMA)</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in other institutions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Staff Student Consultative Committees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Moderation policies which ensure marking is fair and consistent</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Informal feedback mechanisms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Feedback from employers and industry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2"/>
        <w:gridCol w:w="312"/>
        <w:gridCol w:w="801"/>
        <w:gridCol w:w="801"/>
        <w:gridCol w:w="801"/>
        <w:gridCol w:w="800"/>
        <w:gridCol w:w="1"/>
        <w:gridCol w:w="789"/>
        <w:gridCol w:w="801"/>
        <w:gridCol w:w="822"/>
        <w:gridCol w:w="1"/>
        <w:gridCol w:w="789"/>
        <w:gridCol w:w="8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Calibri" w:eastAsia="Calibri" w:hAnsi="Calibri" w:cs="Calibri"/>
      <w:sz w:val="22"/>
      <w:szCs w:val="22"/>
    </w:r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vas.kingston.ac.uk/courses/7438" TargetMode="External"/><Relationship Id="rId18" Type="http://schemas.openxmlformats.org/officeDocument/2006/relationships/hyperlink" Target="http://canvas.kingston.ac.uk/"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kingstonuniversity.sharepoint.com/sites/mykingston/mysupport/myaccommodation/Pages/default.aspx" TargetMode="Externa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s://www.kingston.ac.uk/kingston-language-scheme/" TargetMode="External"/><Relationship Id="rId25" Type="http://schemas.openxmlformats.org/officeDocument/2006/relationships/hyperlink" Target="https://www.kingstonstudents.net/" TargetMode="External"/><Relationship Id="rId7" Type="http://schemas.openxmlformats.org/officeDocument/2006/relationships/customXml" Target="../customXml/item4.xml"/><Relationship Id="rId16" Type="http://schemas.openxmlformats.org/officeDocument/2006/relationships/hyperlink" Target="https://kingstonuniversity.sharepoint.com/sites/mykingston/mysupport/ELD/Pages/default.aspx" TargetMode="External"/><Relationship Id="rId2" Type="http://schemas.openxmlformats.org/officeDocument/2006/relationships/webSettings" Target="webSettings.xml"/><Relationship Id="rId20" Type="http://schemas.openxmlformats.org/officeDocument/2006/relationships/hyperlink" Target="https://www.kingston.ac.uk/aboutkingstonuniversity/howtheuniversityworks/policiesandregulations/" TargetMode="Externa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24" Type="http://schemas.openxmlformats.org/officeDocument/2006/relationships/hyperlink" Target="https://www.kingston.ac.uk/international/visas-immigration-and-cas/advice-for-international-students/" TargetMode="External"/><Relationship Id="rId6" Type="http://schemas.openxmlformats.org/officeDocument/2006/relationships/customXml" Target="../customXml/item3.xml"/><Relationship Id="rId15" Type="http://schemas.openxmlformats.org/officeDocument/2006/relationships/hyperlink" Target="https://kingstonuniversity.sharepoint.com/sites/mykingston/mysupport/itsupport/lynda/Pages/default.aspx" TargetMode="External"/><Relationship Id="rId23" Type="http://schemas.openxmlformats.org/officeDocument/2006/relationships/hyperlink" Target="https://kingstonuniversity.sharepoint.com/sites/mykingston/mysupport/studentwellbeing" TargetMode="External"/><Relationship Id="rId28"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kingstonuniversity.sharepoint.com/sites/mykingston/mysupport/money/Pages/default.aspx" TargetMode="External"/><Relationship Id="rId14" Type="http://schemas.openxmlformats.org/officeDocument/2006/relationships/hyperlink" Target="https://www.kingston.ac.uk/information-and-technology-services/service-desk-portal/" TargetMode="External"/><Relationship Id="rId22" Type="http://schemas.openxmlformats.org/officeDocument/2006/relationships/hyperlink" Target="https://kingstonuniversity.sharepoint.com/sites/mykingston/mysupport/international/Pages/default.aspx"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4CFD186-B81A-4355-80D9-D2F0F770F09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