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UFBAC1BAC20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USBAC1BAC45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Association for the Advancement of Collegiate Schools of Business (AACSB)</w:t>
            </w:r>
          </w:p>
          <w:p w:rsidRPr="2030048C" w:rsidP="2030048C">
            <w:pPr>
              <w:pStyle w:val="p"/>
              <w:spacing w:before="0" w:after="0"/>
              <w:ind w:left="0" w:right="0"/>
              <w:rPr>
                <w:rStyle w:val="normaltextrun"/>
                <w:rFonts w:ascii="Times New Roman" w:eastAsia="Times New Roman" w:hAnsi="Times New Roman" w:cs="Times New Roman"/>
                <w:b w:val="0"/>
                <w:bCs w:val="0"/>
                <w:i/>
                <w:iCs/>
                <w:color w:val="000000"/>
                <w:sz w:val="24"/>
                <w:szCs w:val="24"/>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It is intended that this course will have exemptions for CIMA in line with BSc (Hons) Business Management, and we will also be seeking some exemptions for ACCA.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i/>
                <w:iCs/>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line="276" w:lineRule="auto"/>
        <w:ind w:left="0" w:right="0"/>
        <w:rPr>
          <w:rStyle w:val="normaltextrun"/>
          <w:rFonts w:ascii="Arial" w:eastAsia="Arial" w:hAnsi="Arial" w:cs="Arial"/>
          <w:i/>
          <w:iCs/>
          <w:color w:val="000000" w:themeColor="text1"/>
          <w:sz w:val="24"/>
          <w:szCs w:val="24"/>
          <w:shd w:val="clear" w:color="auto" w:fill="FFFFFF"/>
        </w:rPr>
      </w:pPr>
    </w:p>
    <w:p w:rsidRPr="2030048C" w:rsidP="2030048C">
      <w:pPr>
        <w:pStyle w:val="ListParagraph0"/>
        <w:spacing w:before="0" w:after="0" w:line="276" w:lineRule="auto"/>
        <w:ind w:left="0" w:right="0"/>
        <w:jc w:val="both"/>
        <w:rPr>
          <w:rStyle w:val="normaltextrun"/>
          <w:rFonts w:ascii="Calibri" w:eastAsia="Calibri" w:hAnsi="Calibri" w:cs="Calibri"/>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The main features of this programme:</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provide students with an in-depth knowledge and understanding of the core elements of business and management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provide students with a specialist knowledge of accounting and its role in business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develop the intellectual skills necessary to contribute to effective business practice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develop business related practical skills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prepare students for graduate employment, research, further </w:t>
      </w:r>
      <w:r w:rsidRPr="2030048C">
        <w:rPr>
          <w:rStyle w:val="normaltextrun"/>
          <w:rFonts w:ascii="Arial" w:eastAsia="Arial" w:hAnsi="Arial" w:cs="Arial"/>
          <w:color w:val="000000" w:themeColor="text1"/>
          <w:sz w:val="24"/>
          <w:szCs w:val="24"/>
          <w:shd w:val="clear" w:color="auto" w:fill="FFFFFF"/>
        </w:rPr>
        <w:t>study,</w:t>
      </w:r>
      <w:r w:rsidRPr="2030048C">
        <w:rPr>
          <w:rStyle w:val="normaltextrun"/>
          <w:rFonts w:ascii="Arial" w:eastAsia="Arial" w:hAnsi="Arial" w:cs="Arial"/>
          <w:color w:val="000000" w:themeColor="text1"/>
          <w:sz w:val="24"/>
          <w:szCs w:val="24"/>
          <w:shd w:val="clear" w:color="auto" w:fill="FFFFFF"/>
        </w:rPr>
        <w:t xml:space="preserve"> and lifelong learning by developing their intellectual, </w:t>
      </w:r>
      <w:r w:rsidRPr="2030048C">
        <w:rPr>
          <w:rStyle w:val="normaltextrun"/>
          <w:rFonts w:ascii="Arial" w:eastAsia="Arial" w:hAnsi="Arial" w:cs="Arial"/>
          <w:color w:val="000000" w:themeColor="text1"/>
          <w:sz w:val="24"/>
          <w:szCs w:val="24"/>
          <w:shd w:val="clear" w:color="auto" w:fill="FFFFFF"/>
        </w:rPr>
        <w:t>practical,</w:t>
      </w:r>
      <w:r w:rsidRPr="2030048C">
        <w:rPr>
          <w:rStyle w:val="normaltextrun"/>
          <w:rFonts w:ascii="Arial" w:eastAsia="Arial" w:hAnsi="Arial" w:cs="Arial"/>
          <w:color w:val="000000" w:themeColor="text1"/>
          <w:sz w:val="24"/>
          <w:szCs w:val="24"/>
          <w:shd w:val="clear" w:color="auto" w:fill="FFFFFF"/>
        </w:rPr>
        <w:t xml:space="preserve">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including the economic, social, and organisational environments and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to achieve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and evaluate current methods for financial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relevant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w:t>
      </w:r>
      <w:r w:rsidRPr="2030048C">
        <w:rPr>
          <w:rFonts w:ascii="Arial" w:eastAsia="Arial" w:hAnsi="Arial" w:cs="Arial"/>
          <w:color w:val="000000" w:themeColor="text1" w:themeShade="FF" w:themeTint="FF"/>
          <w:sz w:val="24"/>
          <w:szCs w:val="24"/>
        </w:rPr>
        <w:t xml:space="preserve">As per </w:t>
      </w:r>
      <w:hyperlink r:id="rId11" w:history="1">
        <w:r w:rsidRPr="2030048C">
          <w:rPr>
            <w:rFonts w:ascii="Arial" w:eastAsia="Arial" w:hAnsi="Arial" w:cs="Arial"/>
            <w:color w:val="000000" w:themeColor="text1" w:themeShade="FF" w:themeTint="FF"/>
            <w:sz w:val="24"/>
            <w:szCs w:val="24"/>
            <w:u w:val="single"/>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w:t>
      </w:r>
      <w:r w:rsidRPr="2030048C">
        <w:rPr>
          <w:rFonts w:ascii="Arial" w:eastAsia="Arial" w:hAnsi="Arial" w:cs="Arial"/>
          <w:color w:val="000000" w:themeColor="text1" w:themeShade="FF" w:themeTint="FF"/>
          <w:sz w:val="24"/>
          <w:szCs w:val="24"/>
        </w:rPr>
        <w:t xml:space="preserve">that </w:t>
      </w:r>
      <w:r w:rsidRPr="2030048C">
        <w:rPr>
          <w:rFonts w:ascii="Arial" w:eastAsia="Arial" w:hAnsi="Arial" w:cs="Arial"/>
          <w:color w:val="000000" w:themeColor="text1" w:themeShade="FF" w:themeTint="FF"/>
          <w:sz w:val="24"/>
          <w:szCs w:val="24"/>
        </w:rPr>
        <w:t xml:space="preserve">all option modules </w:t>
      </w:r>
      <w:r w:rsidRPr="2030048C">
        <w:rPr>
          <w:rFonts w:ascii="Arial" w:eastAsia="Arial" w:hAnsi="Arial" w:cs="Arial"/>
          <w:color w:val="000000" w:themeColor="text1" w:themeShade="FF" w:themeTint="FF"/>
          <w:sz w:val="24"/>
          <w:szCs w:val="24"/>
        </w:rPr>
        <w:t xml:space="preserve">listed below </w:t>
      </w:r>
      <w:r w:rsidRPr="2030048C">
        <w:rPr>
          <w:rFonts w:ascii="Arial" w:eastAsia="Arial" w:hAnsi="Arial" w:cs="Arial"/>
          <w:color w:val="000000" w:themeColor="text1" w:themeShade="FF" w:themeTint="FF"/>
          <w:sz w:val="24"/>
          <w:szCs w:val="24"/>
        </w:rPr>
        <w:t xml:space="preserve">are delivered. </w:t>
      </w:r>
      <w:r w:rsidRPr="2030048C">
        <w:rPr>
          <w:rFonts w:ascii="Arial" w:eastAsia="Arial" w:hAnsi="Arial" w:cs="Arial"/>
          <w:color w:val="000000" w:themeColor="text1" w:themeShade="FF" w:themeTint="FF"/>
          <w:sz w:val="24"/>
          <w:szCs w:val="24"/>
        </w:rPr>
        <w:t xml:space="preserve">However, </w:t>
      </w:r>
      <w:r w:rsidRPr="2030048C">
        <w:rPr>
          <w:rFonts w:ascii="Arial" w:eastAsia="Arial" w:hAnsi="Arial" w:cs="Arial"/>
          <w:color w:val="000000" w:themeColor="text1" w:themeShade="FF" w:themeTint="FF"/>
          <w:sz w:val="24"/>
          <w:szCs w:val="24"/>
        </w:rPr>
        <w:t>for various reasons, such as demand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availability of </w:t>
      </w:r>
      <w:r w:rsidRPr="2030048C">
        <w:rPr>
          <w:rFonts w:ascii="Arial" w:eastAsia="Arial" w:hAnsi="Arial" w:cs="Arial"/>
          <w:color w:val="000000" w:themeColor="text1" w:themeShade="FF" w:themeTint="FF"/>
          <w:sz w:val="24"/>
          <w:szCs w:val="24"/>
        </w:rPr>
        <w:t xml:space="preserve">option modules may </w:t>
      </w:r>
      <w:r w:rsidRPr="2030048C">
        <w:rPr>
          <w:rFonts w:ascii="Arial" w:eastAsia="Arial" w:hAnsi="Arial" w:cs="Arial"/>
          <w:color w:val="000000" w:themeColor="text1" w:themeShade="FF" w:themeTint="FF"/>
          <w:sz w:val="24"/>
          <w:szCs w:val="24"/>
        </w:rPr>
        <w:t xml:space="preserve">vary </w:t>
      </w:r>
      <w:r w:rsidRPr="2030048C">
        <w:rPr>
          <w:rFonts w:ascii="Arial" w:eastAsia="Arial" w:hAnsi="Arial" w:cs="Arial"/>
          <w:color w:val="000000" w:themeColor="text1" w:themeShade="FF" w:themeTint="FF"/>
          <w:sz w:val="24"/>
          <w:szCs w:val="24"/>
        </w:rPr>
        <w:t xml:space="preserve">from year to year or </w:t>
      </w:r>
      <w:r w:rsidRPr="2030048C">
        <w:rPr>
          <w:rFonts w:ascii="Arial" w:eastAsia="Arial" w:hAnsi="Arial" w:cs="Arial"/>
          <w:color w:val="000000" w:themeColor="text1" w:themeShade="FF" w:themeTint="FF"/>
          <w:sz w:val="24"/>
          <w:szCs w:val="24"/>
        </w:rPr>
        <w:t xml:space="preserve">between </w:t>
      </w:r>
      <w:r w:rsidRPr="2030048C">
        <w:rPr>
          <w:rFonts w:ascii="Arial" w:eastAsia="Arial" w:hAnsi="Arial" w:cs="Arial"/>
          <w:color w:val="000000" w:themeColor="text1" w:themeShade="FF" w:themeTint="FF"/>
          <w:sz w:val="24"/>
          <w:szCs w:val="24"/>
        </w:rPr>
        <w:t>teaching blocks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University will notify </w:t>
      </w: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as soon as these circumstances arise by email.</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Management.  Those students who wish to do this, will be required to study BM5201 Marketing Management as their level 5 elective.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5 or above are eligible for the award of Diploma of Higher Education in Business and Accounting.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45 credits of option modules, of which one must be a TB2 15-credit module.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60 credits (including the core modules) at level 6 are eligible for the award of BSc Business and Accounting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Year-Long Work Placement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Professional exemptions (CIMA)</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in other institutions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68"/>
        <w:gridCol w:w="265"/>
        <w:gridCol w:w="1"/>
        <w:gridCol w:w="680"/>
        <w:gridCol w:w="1"/>
        <w:gridCol w:w="680"/>
        <w:gridCol w:w="1"/>
        <w:gridCol w:w="680"/>
        <w:gridCol w:w="1"/>
        <w:gridCol w:w="680"/>
        <w:gridCol w:w="1"/>
        <w:gridCol w:w="699"/>
        <w:gridCol w:w="1"/>
        <w:gridCol w:w="680"/>
        <w:gridCol w:w="1"/>
        <w:gridCol w:w="680"/>
        <w:gridCol w:w="1"/>
        <w:gridCol w:w="669"/>
        <w:gridCol w:w="1"/>
        <w:gridCol w:w="1"/>
        <w:gridCol w:w="670"/>
        <w:gridCol w:w="1"/>
        <w:gridCol w:w="680"/>
        <w:gridCol w:w="1"/>
        <w:gridCol w:w="66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EBD52A8-364E-4F7E-9059-538F6D44B69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