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Analytical Chemistry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30/09/2012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11/08/2023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10</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Life Sciences, Pharmacy and Chemistry</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Chemical &amp; Pharmaceutical Sciences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Analytical Chemistry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PGDiploma</w:t>
            </w:r>
            <w:r>
              <w:br/>
            </w:r>
          </w:p>
          <w:p w:rsidR="72431AC7" w:rsidP="01DA1EA0" w14:paraId="59ABF227" w14:textId="338D9999">
            <w:r w:rsidRPr="01DA1EA0">
              <w:rPr>
                <w:rFonts w:ascii="Arial" w:hAnsi="Arial" w:cs="Arial"/>
                <w:sz w:val="22"/>
                <w:szCs w:val="22"/>
              </w:rPr>
              <w:t>PGCertificate</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NPANC</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7</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Candidates with a UK or UK equivalent (stated by NARIC) second class Bachelor Honour's degree in chemistry, pharmacy, pharmaceutical science or a related subject such as pharmacology or biomedical science. are qualified to register for the MSc. Other degrees will be considered on an individual basis.</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normally be interviewed (overseas applicants will often be interviewed by telephone/SKYPE)/TEAMS.</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in one are required to provide evidence of appropriate competence in use of the English Language, for example by having passed a recognised English Language examination (or equivalent): e.g., British Council IELTS test, (where a minimum overall score of 6.5 and a minimum of 6.0 in Writing, Reading, Listening and Speaking), is required.</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Normally, exemptions from the study of particular modules will only be granted only on the basis of relevant previous study at master’s level (RPL) or relevant experience (RPEL). Students wishing to gain admission to the course with advanced standing will be required to provide certificates, a course/module synopsis, and a portfolio of evidence of their previous learning or work-based experience.</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Students who have claimed a Diploma in the field will normally be allowed to apply for admission to MSc in the field provided that they do so within a period not normally exceeding 2 years.</w:t>
                  </w:r>
                </w:p>
              </w:tc>
            </w:tr>
          </w:tbl>
          <w:p w:rsidR="00C447A7" w:rsidRPr="00BF1022" w:rsidP="0BF386EB" w14:paraId="4B08F2A9"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4"/>
                <w:szCs w:val="24"/>
                <w:shd w:val="clear" w:color="auto" w:fill="FFFFFF"/>
              </w:rPr>
            </w:pPr>
            <w:r>
              <w:rPr>
                <w:rStyle w:val="normaltextrun"/>
                <w:rFonts w:ascii="Arial" w:eastAsia="Arial" w:hAnsi="Arial" w:cs="Arial"/>
                <w:color w:val="000000"/>
                <w:sz w:val="24"/>
                <w:szCs w:val="24"/>
                <w:shd w:val="clear" w:color="auto" w:fill="FFFFFF"/>
              </w:rPr>
              <w:t>None</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4"/>
                <w:szCs w:val="24"/>
                <w:shd w:val="clear" w:color="auto" w:fill="FFFFFF"/>
              </w:rPr>
              <w:t>Chemistry March 2022</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There are no variants to PR.</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aims of the MSc</w:t>
      </w:r>
      <w:r w:rsidRPr="007C4290">
        <w:rPr>
          <w:rStyle w:val="normaltextrun"/>
          <w:rFonts w:ascii="Arial" w:hAnsi="Arial" w:cs="Arial"/>
          <w:color w:val="000000" w:themeColor="text1"/>
          <w:shd w:val="clear" w:color="auto" w:fill="FFFFFF"/>
        </w:rPr>
        <w:t xml:space="preserve"> p</w:t>
      </w:r>
      <w:r w:rsidRPr="007C4290">
        <w:rPr>
          <w:rStyle w:val="normaltextrun"/>
          <w:rFonts w:ascii="Arial" w:hAnsi="Arial" w:cs="Arial"/>
          <w:color w:val="000000" w:themeColor="text1"/>
          <w:shd w:val="clear" w:color="auto" w:fill="FFFFFF"/>
        </w:rPr>
        <w:t>rogramme are:</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equip post-graduates with key problem-solving, practical and IT skills in preparation for their careers in a variety of work environments;</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create a p</w:t>
      </w:r>
      <w:r w:rsidRPr="007C4290">
        <w:rPr>
          <w:rStyle w:val="normaltextrun"/>
          <w:rFonts w:ascii="Arial" w:hAnsi="Arial" w:cs="Arial"/>
          <w:color w:val="000000" w:themeColor="text1"/>
          <w:shd w:val="clear" w:color="auto" w:fill="FFFFFF"/>
        </w:rPr>
        <w:t>edagogic environment where a broad range of analytical scientists can enthusiastically pursue their subject in an atmosphere in which teamwork, exchange of ideas and debate are encouraged;</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industrially relevant course</w:t>
      </w:r>
      <w:r w:rsidRPr="007C4290">
        <w:rPr>
          <w:rStyle w:val="normaltextrun"/>
          <w:rFonts w:ascii="Arial" w:hAnsi="Arial" w:cs="Arial"/>
          <w:color w:val="000000" w:themeColor="text1"/>
          <w:shd w:val="clear" w:color="auto" w:fill="FFFFFF"/>
        </w:rPr>
        <w:t>s that will enhance the empl</w:t>
      </w:r>
      <w:r w:rsidRPr="007C4290">
        <w:rPr>
          <w:rStyle w:val="normaltextrun"/>
          <w:rFonts w:ascii="Arial" w:hAnsi="Arial" w:cs="Arial"/>
          <w:color w:val="000000" w:themeColor="text1"/>
          <w:shd w:val="clear" w:color="auto" w:fill="FFFFFF"/>
        </w:rPr>
        <w:t>oyability of students after graduation</w:t>
      </w:r>
    </w:p>
    <w:p w:rsidRPr="007C4290" w:rsidP="00A92C9B">
      <w:pPr>
        <w:pStyle w:val="ListParagraph"/>
        <w:numPr>
          <w:ilvl w:val="0"/>
          <w:numId w:val="12"/>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equip students with problem-solving, practical, IT and key (transferable) skills derived from the collection, analysis, interpretation and representation of data and information in preparation for their careers in </w:t>
      </w:r>
      <w:r w:rsidRPr="007C4290">
        <w:rPr>
          <w:rStyle w:val="normaltextrun"/>
          <w:rFonts w:ascii="Arial" w:hAnsi="Arial" w:cs="Arial"/>
          <w:color w:val="000000" w:themeColor="text1"/>
          <w:shd w:val="clear" w:color="auto" w:fill="FFFFFF"/>
        </w:rPr>
        <w:t>a variety of work environments;</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give students the independent learning ability required for continuing professional development;</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offer flexible programmes of study to suit the needs of students in employment and their employers.</w:t>
      </w:r>
    </w:p>
    <w:p w:rsidRPr="007C4290" w:rsidP="00A92C9B">
      <w:pPr>
        <w:pStyle w:val="ListParagraph"/>
        <w:numPr>
          <w:ilvl w:val="0"/>
          <w:numId w:val="14"/>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w:t>
      </w:r>
      <w:r w:rsidRPr="007C4290">
        <w:rPr>
          <w:rStyle w:val="normaltextrun"/>
          <w:rFonts w:ascii="Arial" w:hAnsi="Arial" w:cs="Arial"/>
          <w:color w:val="000000" w:themeColor="text1"/>
          <w:shd w:val="clear" w:color="auto" w:fill="FFFFFF"/>
        </w:rPr>
        <w:t xml:space="preserve"> study both separation science and atomic and molecular spectroscopy at an advanced level;</w:t>
      </w:r>
    </w:p>
    <w:p w:rsidRPr="007C4290" w:rsidP="00A92C9B">
      <w:pPr>
        <w:pStyle w:val="ListParagraph"/>
        <w:numPr>
          <w:ilvl w:val="0"/>
          <w:numId w:val="14"/>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give students a specialised knowledge of the techniques and applications relating to analytical chemistry.</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provide the skills required for self-management and </w:t>
      </w:r>
      <w:r w:rsidRPr="007C4290">
        <w:rPr>
          <w:rStyle w:val="normaltextrun"/>
          <w:rFonts w:ascii="Arial" w:hAnsi="Arial" w:cs="Arial"/>
          <w:color w:val="000000" w:themeColor="text1"/>
          <w:shd w:val="clear" w:color="auto" w:fill="FFFFFF"/>
        </w:rPr>
        <w:t>autonomy in the planning, organisation and conduct of an independent research project;</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students with opportunities to develop their written and oral communication skills;</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identify, locate and critically appraise secondary a</w:t>
      </w:r>
      <w:r w:rsidRPr="007C4290">
        <w:rPr>
          <w:rStyle w:val="normaltextrun"/>
          <w:rFonts w:ascii="Arial" w:hAnsi="Arial" w:cs="Arial"/>
          <w:color w:val="000000" w:themeColor="text1"/>
          <w:shd w:val="clear" w:color="auto" w:fill="FFFFFF"/>
        </w:rPr>
        <w:t>nd primary sources during a research project;</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offer students the opportunity to express originality and creativity in the quest for new knowledge, the application of current knowledge to new situations or the analysis of</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knowledge from a novel standpoi</w:t>
      </w:r>
      <w:r w:rsidRPr="007C4290">
        <w:rPr>
          <w:rStyle w:val="normaltextrun"/>
          <w:rFonts w:ascii="Arial" w:hAnsi="Arial" w:cs="Arial"/>
          <w:color w:val="000000" w:themeColor="text1"/>
          <w:shd w:val="clear" w:color="auto" w:fill="FFFFFF"/>
        </w:rPr>
        <w:t>nt.</w:t>
      </w:r>
    </w:p>
    <w:p w:rsidRPr="007C4290" w:rsidP="00A92C9B">
      <w:pPr>
        <w:pStyle w:val="ListParagraph"/>
        <w:numPr>
          <w:ilvl w:val="0"/>
          <w:numId w:val="15"/>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4"/>
          <w:szCs w:val="24"/>
          <w:shd w:val="clear" w:color="auto" w:fill="FFFFFF"/>
        </w:rPr>
        <w:t>to give students a critical awareness of and engagement with current research methods and techniques.</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In addition, the aims of the professional placement module are:</w:t>
      </w:r>
    </w:p>
    <w:p w:rsidRPr="007C4290" w:rsidP="00A92C9B">
      <w:pPr>
        <w:pStyle w:val="ListParagraph"/>
        <w:numPr>
          <w:ilvl w:val="0"/>
          <w:numId w:val="16"/>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 </w:t>
      </w:r>
      <w:r w:rsidRPr="007C4290">
        <w:rPr>
          <w:rStyle w:val="normaltextrun"/>
          <w:rFonts w:ascii="Arial" w:hAnsi="Arial" w:cs="Arial"/>
          <w:b/>
          <w:bCs/>
          <w:color w:val="000000" w:themeColor="text1"/>
          <w:shd w:val="clear" w:color="auto" w:fill="FFFFFF"/>
        </w:rPr>
        <w:t>To provide experience of working in a professional environment that is relevant to th</w:t>
      </w:r>
      <w:r w:rsidRPr="007C4290">
        <w:rPr>
          <w:rStyle w:val="normaltextrun"/>
          <w:rFonts w:ascii="Arial" w:hAnsi="Arial" w:cs="Arial"/>
          <w:b/>
          <w:bCs/>
          <w:color w:val="000000" w:themeColor="text1"/>
          <w:shd w:val="clear" w:color="auto" w:fill="FFFFFF"/>
        </w:rPr>
        <w:t xml:space="preserve">e field of study </w:t>
      </w:r>
    </w:p>
    <w:p w:rsidRPr="007C4290" w:rsidP="00A92C9B">
      <w:pPr>
        <w:pStyle w:val="ListParagraph"/>
        <w:numPr>
          <w:ilvl w:val="0"/>
          <w:numId w:val="16"/>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allow students to consolidate and apply the range of skills and knowledge acquired in the course of their studies to a work environment and to reflect on and develop these skills and knowledge further </w:t>
      </w:r>
    </w:p>
    <w:p w:rsidRPr="007C4290" w:rsidP="00A92C9B">
      <w:pPr>
        <w:pStyle w:val="ListParagraph"/>
        <w:numPr>
          <w:ilvl w:val="0"/>
          <w:numId w:val="16"/>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enhance career prospects throu</w:t>
      </w:r>
      <w:r w:rsidRPr="007C4290">
        <w:rPr>
          <w:rStyle w:val="normaltextrun"/>
          <w:rFonts w:ascii="Arial" w:hAnsi="Arial" w:cs="Arial"/>
          <w:color w:val="000000" w:themeColor="text1"/>
          <w:shd w:val="clear" w:color="auto" w:fill="FFFFFF"/>
        </w:rPr>
        <w:t>gh the development of a range of skills that enable students to present themselves effectively, network and make informed decisions about employment and career plans.</w:t>
      </w:r>
    </w:p>
    <w:p w:rsidRPr="007C4290" w:rsidP="00A92C9B">
      <w:pPr>
        <w:pStyle w:val="ListParagraph"/>
        <w:numPr>
          <w:ilvl w:val="0"/>
          <w:numId w:val="16"/>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develop the process of reflection and promote self-awareness in learning </w:t>
      </w:r>
    </w:p>
    <w:p w:rsidRPr="007C4290" w:rsidP="00A92C9B">
      <w:pPr>
        <w:pStyle w:val="ListParagraph"/>
        <w:numPr>
          <w:ilvl w:val="0"/>
          <w:numId w:val="16"/>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Give student</w:t>
      </w:r>
      <w:r w:rsidRPr="007C4290">
        <w:rPr>
          <w:rStyle w:val="normaltextrun"/>
          <w:rFonts w:ascii="Arial" w:hAnsi="Arial" w:cs="Arial"/>
          <w:color w:val="000000" w:themeColor="text1"/>
          <w:shd w:val="clear" w:color="auto" w:fill="FFFFFF"/>
        </w:rPr>
        <w:t>s an opportunity to develop further skills,</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preparing them for higher levels of employment</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The programme provides opportunities for students to develop and demonstrate knowledge and understanding, skills and other attributes in the following areas.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The programme outcomes are referenced to the QAA subject benchmarks for Chemistry and Pharmacy, and the Framework for Higher Education Qualifications in England, Wales and Northern Ireland (March 2022) and relate to the typical student.</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In addition, students who successfully complete the professional placement  module will be able to:</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Relate academic theory to practice and apply knowledge and skills in a professional context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Maintain an accurate account of work activity , reflect critically on the experience of the placement and evaluate their own personal and professional development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Confidently present a critical understanding of the placement organisation and their experience within it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 xml:space="preserve">Autonomously evaluate tasks set in the work place and apply effective communication and problem solving initiatives to achieve the best outcome for the employer; </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appreciate the role of the analytical chemist in a variety of situations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carry out subject-related practical work safely and understand safety requirements including preparing CoSHH forms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display advanced skills in interpretation and discussion of the results of laboratory data, in the context of the wider analytical problem, and recognise the significance of the results to industry/society in general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select and operate in an efficient manner the techniques used widely in analytical industries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and ability to interpret clients’ requirements;acquire specialist knowledge of advanced analytical techniques and specialised applications of those techniques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implement good scientific and consistent practice (including contamination avoidance), reliably recording methods and results using appropriate methods to critically analyse the data and evaluate the level of its uncertainty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how a research project operates and undertake research in a logical and safe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skills in the evaluation and interpretation of laboratory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how to prepare a research report and poster in the correct format and to have an active engagement and familiarity with recent and current research methods, results and publications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develop an understanding of the analytical challenges particular to the analytical industry and acquire the specialised knowledge to face those challenges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have an understanding of the principles and theories introduced in the courses and apply that knowledge to familiar and unfamiliar situations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recommend improvements in methodology, technology or interpretation that enhance the performance of processes and/or procedures in an analytical context.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2"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develop an understanding of the challenges particular to the analytical industries, and with reflection and recall of both theoretical and practical skills, surmount these challenges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3"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carry out and report investigations with an effective self-critical attitude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4"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approach and resolve the  complex problems that can arise during an analysis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5"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ability to be independent, autonomous learners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6"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achieve competence in the design, planning and execution of practical investigations, selection of appropriate techniques and procedures for carrying out particular chemical analyses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7"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assemble data from a variety of sources and discern and establish connections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8"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analyse and appraise both primary and secondary information sources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9"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design controlled experiments to investigate qualitative and/or quantitative characteristics of analytical samples and apply and adapt problem solving skills to unfamiliar, complex and open-ended situations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A"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4"/>
          <w:szCs w:val="24"/>
        </w:rPr>
        <w:t>The MSc is made up of four taught modules each worth 30 credit points and a research project worth 60 credits (180 credits total). All students will be provided with the University regulations (Postgraduate Credit Framework) and specific additions that are sometimes required for accreditation by outside bodies (e.g. professional or statutory bodies that confer professional accreditation).  Full details of each module will be provided in module descriptors and student module guides.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Analytical Chemistry</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Analytical Chemistry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Molecular and Atomic Spectroscopy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CH7020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MSc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CH7100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Separation Science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CH7030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Specialised Analytical Techniques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CH7040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Statistics and Quality Systems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CH7900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All</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1</w:t>
            </w: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*The Professional Placement module is for all placements route students and takes place after the project module. It can be up to 1 year in length maximum. Students are expected to engage in 10-12 months of work in the professional environment in a maximum of 2 settings. Assigned hours of work are to be arranged by the supervisor at the host institution. All placements will be arrangements between Kingston University and the institution hosting the placement, which may include companies, research institutes and hospitals. Placements will be assigned to students based on availability and opportunity, taking into consideration the student’s background and proficiencies. Selection for placements will often be competitive and at the discretion of the host workplace. Students will demonstrate professional responsibility through attendance at the workplace for the agreed time and hours, adherence to policies in place at the work place, effective professional communication with supervisors and co-workers, and completion of tasks and duties as they are assigned.</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starting the course in September will work on the placement for between 10 – 12 months, after their dissertation. Those students must confirm their placement before the deadline which will be notified by the Faculty. Students on courses with January intake will work on the placement for between 10 – 12 months, starting from February, after completing their dissertation. Students on this intake must confirm their placement before the deadline which will be notified by the Faculty. In either case, the suitability of the placement requires approval of the Course Leader.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4"/>
          <w:szCs w:val="24"/>
        </w:rPr>
        <w:t xml:space="preserve">The programme utilises a wide range of teaching and learning methods that will enable all students be actively engaged throughout the course. Knowledge and understanding is developed through teaching and learning methods that are carefully crafted to suit the content and the learning outcomes of the module – typically using lectures in the early parts of modules to ensure that students have the key knowledge relating to the module. Students are then given the opportunity to develop more individual interests and personal and key skills through a variety of group seminar, practical and laboratory sessions. </w:t>
      </w:r>
    </w:p>
    <w:p w:rsidRPr="503DC450" w:rsidP="007D20BC">
      <w:pPr>
        <w:rPr>
          <w:rFonts w:ascii="Arial" w:hAnsi="Arial" w:cs="Arial"/>
          <w:sz w:val="22"/>
          <w:szCs w:val="22"/>
        </w:rPr>
      </w:pPr>
      <w:r w:rsidRPr="503DC450">
        <w:rPr>
          <w:rFonts w:ascii="Arial" w:hAnsi="Arial" w:cs="Arial"/>
          <w:sz w:val="24"/>
          <w:szCs w:val="24"/>
        </w:rPr>
        <w:t xml:space="preserve">A range of assessment methods are used to enable students to demonstrate the acquisition of knowledge and skills. Methods include course 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w:t>
      </w:r>
    </w:p>
    <w:p w:rsidRPr="503DC450" w:rsidP="007D20BC">
      <w:pPr>
        <w:rPr>
          <w:rFonts w:ascii="Arial" w:hAnsi="Arial" w:cs="Arial"/>
          <w:sz w:val="22"/>
          <w:szCs w:val="22"/>
        </w:rPr>
      </w:pPr>
      <w:r w:rsidRPr="503DC450">
        <w:rPr>
          <w:rFonts w:ascii="Arial" w:hAnsi="Arial" w:cs="Arial"/>
          <w:sz w:val="24"/>
          <w:szCs w:val="24"/>
        </w:rPr>
        <w:t xml:space="preserve">The team make use of technology enhanced learning to improve the student experience and facilitate feedback.  Examples include electronic marking and oral feedback via Speedgrader®, online assessments via Canvas and bespoke assignments produced using excel and visual basic to provide rapid marking for problem-solving practicals and electronic feedback in pdf format direct to the students email account. </w:t>
      </w:r>
    </w:p>
    <w:p w:rsidRPr="503DC450" w:rsidP="007D20BC">
      <w:pPr>
        <w:rPr>
          <w:rFonts w:ascii="Arial" w:hAnsi="Arial" w:cs="Arial"/>
          <w:sz w:val="22"/>
          <w:szCs w:val="22"/>
        </w:rPr>
      </w:pPr>
      <w:r w:rsidRPr="503DC450">
        <w:rPr>
          <w:rFonts w:ascii="Arial" w:hAnsi="Arial" w:cs="Arial"/>
          <w:sz w:val="24"/>
          <w:szCs w:val="24"/>
        </w:rPr>
        <w:t>The School runs a personal tutor scheme for postgraduates giving student the support of their allocated personal tutor, who will help students draw together the themes of the curriculum synoptically by discussing their Personal Development Plan with them. The development of academic skills is threaded throughout the course and assessed both formatively and summatively. Tutors test progress in the development of these skills, but also identify where students may need additional support, which may come via the Academic Skills Centre or other tailored support.</w:t>
      </w:r>
    </w:p>
    <w:p w:rsidRPr="503DC450" w:rsidP="007D20BC">
      <w:pPr>
        <w:rPr>
          <w:rFonts w:ascii="Arial" w:hAnsi="Arial" w:cs="Arial"/>
          <w:sz w:val="22"/>
          <w:szCs w:val="22"/>
        </w:rPr>
      </w:pPr>
      <w:r w:rsidRPr="503DC450">
        <w:rPr>
          <w:rFonts w:ascii="Arial" w:hAnsi="Arial" w:cs="Arial"/>
          <w:sz w:val="24"/>
          <w:szCs w:val="24"/>
        </w:rPr>
        <w:t xml:space="preserve">A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w:rsidRPr="503DC450" w:rsidP="007D20BC">
      <w:pPr>
        <w:rPr>
          <w:rFonts w:ascii="Arial" w:hAnsi="Arial" w:cs="Arial"/>
          <w:sz w:val="22"/>
          <w:szCs w:val="22"/>
        </w:rPr>
      </w:pPr>
      <w:r w:rsidRPr="503DC450">
        <w:rPr>
          <w:rFonts w:ascii="Arial" w:hAnsi="Arial" w:cs="Arial"/>
          <w:sz w:val="24"/>
          <w:szCs w:val="24"/>
        </w:rPr>
        <w:t xml:space="preserve">All of the Course team are research active and regularly publish their work in respected journals. This research expertise is directly applied to respective modules, e.g. stability of anti-cancer drugs &amp; -drug testing in sport  in the Separation Science module, polymer analysis and thermal analysis in the  Specialised Analytical techniques module, and spectral analysis of impurities in the Molecular and Atomic Spectroscopy module.  Many hold or have held important positions in the field and regularly attend national meetings e.g. Chair of Register of Analytical Chemists, Chairman of Royal Society of Chemistry South-East Region Analytical Division (SERAD), Hon. Secretary of Royal Society of Chemistry’s (RSC) Analytical Division, RSC Committee for Accreditation and Validation of Courses and most are Fellows or Members of the RSC or Forensic Science Society, Chartered Chemists/EurChem/Chartered Scientists and have professional teaching qualifications e.g. PGCE(HE) CSciTeach, and are Fellows or Senior Fellows of the Higher Education Academy.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4"/>
          <w:szCs w:val="24"/>
        </w:rPr>
        <w:t>Students are supported by:</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A Module Leader for each module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A Course Leader to help students understand the programme structure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Personal Tutors to provide academic and personal support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Project and professional placement tutors and workplace supervisor to give general advice on placement(s) and visit students</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Technical support to advise students on IT and the use of software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A designated programme administrator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An induction week at the beginning of each new academic session. This includes an induction to the University, the School, Library, the Union of Kingston Students, University and School pastoral support and ancillary services</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Student Voice Committee (SVC)</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Canvas – a versatile on-line interactive intranet an learning environment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A substantial Study Skills Centre that provides academic skills support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Student support facilities that provide advice on issues such as finance, regulations, legal matters, accommodation, international student support etc.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Disabled student support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 xml:space="preserve">The Students’ Union </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Careers and Employability Service</w:t>
      </w:r>
    </w:p>
    <w:p w:rsidRPr="503DC450" w:rsidP="00B40E99">
      <w:pPr>
        <w:numPr>
          <w:ilvl w:val="0"/>
          <w:numId w:val="18"/>
        </w:numPr>
        <w:ind w:left="720" w:hanging="360"/>
        <w:jc w:val="left"/>
        <w:rPr>
          <w:rFonts w:ascii="Arial" w:hAnsi="Arial" w:cs="Arial"/>
          <w:sz w:val="22"/>
          <w:szCs w:val="22"/>
        </w:rPr>
      </w:pPr>
      <w:r w:rsidRPr="503DC450">
        <w:rPr>
          <w:rFonts w:ascii="Arial" w:hAnsi="Arial" w:cs="Arial"/>
          <w:sz w:val="24"/>
          <w:szCs w:val="24"/>
        </w:rPr>
        <w:t>Access to Linkedin Learning which provides video courses taught by industry experts in software, creative, and business skills.</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The University h</w:t>
      </w:r>
      <w:r w:rsidRPr="503DC450">
        <w:rPr>
          <w:rFonts w:ascii="Arial" w:hAnsi="Arial" w:cs="Arial"/>
          <w:sz w:val="22"/>
          <w:szCs w:val="22"/>
        </w:rPr>
        <w:t>as several methods for evaluating and improving the quality and standards of its provision.</w:t>
      </w:r>
      <w:r w:rsidRPr="503DC450">
        <w:rPr>
          <w:rFonts w:ascii="Arial" w:hAnsi="Arial" w:cs="Arial"/>
          <w:sz w:val="22"/>
          <w:szCs w:val="22"/>
        </w:rPr>
        <w:t xml:space="preserve">  </w:t>
      </w:r>
      <w:r w:rsidRPr="503DC450">
        <w:rPr>
          <w:rFonts w:ascii="Arial" w:hAnsi="Arial" w:cs="Arial"/>
          <w:sz w:val="22"/>
          <w:szCs w:val="22"/>
        </w:rPr>
        <w:t>These include:</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Boards of study with student re</w:t>
      </w:r>
      <w:r w:rsidRPr="503DC450">
        <w:rPr>
          <w:rFonts w:ascii="Arial" w:hAnsi="Arial" w:cs="Arial"/>
          <w:sz w:val="22"/>
          <w:szCs w:val="22"/>
        </w:rPr>
        <w:t>presentation</w:t>
      </w:r>
      <w:r w:rsidRPr="503DC450">
        <w:rPr>
          <w:rFonts w:ascii="Arial" w:hAnsi="Arial" w:cs="Arial"/>
          <w:sz w:val="22"/>
          <w:szCs w:val="22"/>
        </w:rPr>
        <w:t xml:space="preserve"> </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Annual review and development</w:t>
      </w:r>
      <w:r w:rsidRPr="503DC450">
        <w:rPr>
          <w:rFonts w:ascii="Arial" w:hAnsi="Arial" w:cs="Arial"/>
          <w:sz w:val="22"/>
          <w:szCs w:val="22"/>
        </w:rPr>
        <w:t xml:space="preserve"> (MRDP- {students comments analysed} and Course summaries)</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Periodic review undertaken at the subject level</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Student evaluation</w:t>
      </w:r>
      <w:r w:rsidRPr="503DC450">
        <w:rPr>
          <w:rFonts w:ascii="Arial" w:hAnsi="Arial" w:cs="Arial"/>
          <w:sz w:val="22"/>
          <w:szCs w:val="22"/>
        </w:rPr>
        <w:t xml:space="preserve">- SSCC, </w:t>
      </w:r>
      <w:r w:rsidRPr="503DC450">
        <w:rPr>
          <w:rFonts w:ascii="Arial" w:hAnsi="Arial" w:cs="Arial"/>
          <w:sz w:val="22"/>
          <w:szCs w:val="22"/>
        </w:rPr>
        <w:t xml:space="preserve">early </w:t>
      </w:r>
      <w:r w:rsidRPr="503DC450">
        <w:rPr>
          <w:rFonts w:ascii="Arial" w:hAnsi="Arial" w:cs="Arial"/>
          <w:sz w:val="22"/>
          <w:szCs w:val="22"/>
        </w:rPr>
        <w:t>module evaluation and</w:t>
      </w:r>
      <w:r w:rsidRPr="503DC450">
        <w:rPr>
          <w:rFonts w:ascii="Arial" w:hAnsi="Arial" w:cs="Arial"/>
          <w:sz w:val="22"/>
          <w:szCs w:val="22"/>
        </w:rPr>
        <w:t xml:space="preserve"> module evaluation questionnaires</w:t>
      </w:r>
    </w:p>
    <w:p w:rsidRPr="503DC450" w:rsidP="00A92C9B">
      <w:pPr>
        <w:numPr>
          <w:ilvl w:val="0"/>
          <w:numId w:val="19"/>
        </w:numPr>
        <w:ind w:left="720" w:right="0" w:hanging="360"/>
        <w:jc w:val="left"/>
        <w:rPr>
          <w:rFonts w:ascii="Arial" w:hAnsi="Arial" w:cs="Arial"/>
          <w:sz w:val="22"/>
          <w:szCs w:val="22"/>
        </w:rPr>
      </w:pPr>
      <w:r w:rsidRPr="503DC450">
        <w:rPr>
          <w:rFonts w:ascii="Arial" w:hAnsi="Arial" w:cs="Arial"/>
          <w:sz w:val="22"/>
          <w:szCs w:val="22"/>
        </w:rPr>
        <w:t>Moderation policies</w:t>
      </w:r>
    </w:p>
    <w:p w:rsidRPr="503DC450" w:rsidP="00A92C9B">
      <w:pPr>
        <w:ind w:left="360"/>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xml:space="preserve">In the 2017 </w:t>
      </w:r>
      <w:r w:rsidRPr="503DC450">
        <w:rPr>
          <w:rFonts w:ascii="Arial" w:hAnsi="Arial" w:cs="Arial"/>
          <w:sz w:val="22"/>
          <w:szCs w:val="22"/>
        </w:rPr>
        <w:t>Departmental</w:t>
      </w:r>
      <w:r w:rsidRPr="503DC450">
        <w:rPr>
          <w:rFonts w:ascii="Arial" w:hAnsi="Arial" w:cs="Arial"/>
          <w:sz w:val="22"/>
          <w:szCs w:val="22"/>
        </w:rPr>
        <w:t xml:space="preserve"> Internal Subject Review of Pharmaceutical Sciences and Chemistry courses, the report evaluated the programmes.</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The review team commended the subject team on several strengths in the provision:</w:t>
      </w:r>
    </w:p>
    <w:p w:rsidRPr="503DC450" w:rsidP="00A92C9B">
      <w:pPr>
        <w:rPr>
          <w:rFonts w:ascii="Arial" w:hAnsi="Arial" w:cs="Arial"/>
          <w:sz w:val="22"/>
          <w:szCs w:val="22"/>
        </w:rPr>
      </w:pPr>
      <w:r w:rsidRPr="503DC450">
        <w:rPr>
          <w:rFonts w:ascii="Arial" w:hAnsi="Arial" w:cs="Arial"/>
          <w:sz w:val="22"/>
          <w:szCs w:val="22"/>
        </w:rPr>
        <w:t> </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The proactivity and agility of the</w:t>
      </w:r>
      <w:r w:rsidRPr="503DC450">
        <w:rPr>
          <w:rFonts w:ascii="Arial" w:hAnsi="Arial" w:cs="Arial"/>
          <w:sz w:val="22"/>
          <w:szCs w:val="22"/>
        </w:rPr>
        <w:t xml:space="preserve"> academic staff that ensure the delivery of, high quality contemporary programmes. </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 xml:space="preserve">The quality of the current students and graduates and their engagement with the review team during the meeting. </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 xml:space="preserve">The approachability of staff which was particularly raised </w:t>
      </w:r>
      <w:r w:rsidRPr="503DC450">
        <w:rPr>
          <w:rFonts w:ascii="Arial" w:hAnsi="Arial" w:cs="Arial"/>
          <w:sz w:val="22"/>
          <w:szCs w:val="22"/>
        </w:rPr>
        <w:t xml:space="preserve">by students and graduates in both academic and pastoral care. </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The review team noted the following areas of good practice:</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The clear organisational structure for quality assurance and governance offering inclusivity to student representatives.</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The diagnos</w:t>
      </w:r>
      <w:r w:rsidRPr="503DC450">
        <w:rPr>
          <w:rFonts w:ascii="Arial" w:hAnsi="Arial" w:cs="Arial"/>
          <w:sz w:val="22"/>
          <w:szCs w:val="22"/>
        </w:rPr>
        <w:t>tic student feedback ensures student expectations are managed from the start of the academic year and that provisions can be put in place to meet student expectations. In particular the maths aids, student support and signposting to academic skills provide</w:t>
      </w:r>
      <w:r w:rsidRPr="503DC450">
        <w:rPr>
          <w:rFonts w:ascii="Arial" w:hAnsi="Arial" w:cs="Arial"/>
          <w:sz w:val="22"/>
          <w:szCs w:val="22"/>
        </w:rPr>
        <w:t xml:space="preserve">d to undergraduate students were exemplary. </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 xml:space="preserve">The wide range of assessments including course work, presentations, exams and essays. </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The mentoring scheme which provides cohort identity and additional support….</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 xml:space="preserve">The review team had confidence in the academic </w:t>
      </w:r>
      <w:r w:rsidRPr="503DC450">
        <w:rPr>
          <w:rFonts w:ascii="Arial" w:hAnsi="Arial" w:cs="Arial"/>
          <w:sz w:val="22"/>
          <w:szCs w:val="22"/>
        </w:rPr>
        <w:t xml:space="preserve">standards set and achieved for the fields involved in the review, in terms of the appropriateness of the content and academic level of the learning outcomes of the fields and the consistency of the actual student achievement with the intended outcomes. </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Th</w:t>
      </w:r>
      <w:r w:rsidRPr="503DC450">
        <w:rPr>
          <w:rFonts w:ascii="Arial" w:hAnsi="Arial" w:cs="Arial"/>
          <w:sz w:val="22"/>
          <w:szCs w:val="22"/>
        </w:rPr>
        <w:t xml:space="preserve">e review team had confidence in the quality of the learning opportunities that supported the students in achieving the academic standards of the awards to which the fields lead. </w:t>
      </w:r>
    </w:p>
    <w:p w:rsidRPr="503DC450" w:rsidP="00A92C9B">
      <w:pPr>
        <w:numPr>
          <w:ilvl w:val="0"/>
          <w:numId w:val="20"/>
        </w:numPr>
        <w:ind w:left="720" w:right="0" w:hanging="360"/>
        <w:jc w:val="left"/>
        <w:rPr>
          <w:rFonts w:ascii="Arial" w:hAnsi="Arial" w:cs="Arial"/>
          <w:sz w:val="22"/>
          <w:szCs w:val="22"/>
        </w:rPr>
      </w:pPr>
      <w:r w:rsidRPr="503DC450">
        <w:rPr>
          <w:rFonts w:ascii="Arial" w:hAnsi="Arial" w:cs="Arial"/>
          <w:sz w:val="22"/>
          <w:szCs w:val="22"/>
        </w:rPr>
        <w:t xml:space="preserve">The review team concluded that the fields were current and that the aims and </w:t>
      </w:r>
      <w:r w:rsidRPr="503DC450">
        <w:rPr>
          <w:rFonts w:ascii="Arial" w:hAnsi="Arial" w:cs="Arial"/>
          <w:sz w:val="22"/>
          <w:szCs w:val="22"/>
        </w:rPr>
        <w:t>learning outcomes were appropriate and were being met. The review team also concluded that the fields were well structured and complied with the Framework for Higher Education Qualifications and relevant subject benchmark statements.</w:t>
      </w: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ind w:left="360"/>
        <w:rPr>
          <w:rFonts w:ascii="Arial" w:hAnsi="Arial" w:cs="Arial"/>
          <w:sz w:val="22"/>
          <w:szCs w:val="22"/>
        </w:rPr>
      </w:pPr>
      <w:r w:rsidRPr="503DC450">
        <w:rPr>
          <w:rFonts w:ascii="Arial" w:hAnsi="Arial" w:cs="Arial"/>
          <w:b/>
          <w:bCs/>
          <w:sz w:val="22"/>
          <w:szCs w:val="22"/>
        </w:rPr>
        <w:t> </w:t>
      </w:r>
      <w:r w:rsidRPr="503DC450">
        <w:rPr>
          <w:rFonts w:ascii="Arial" w:hAnsi="Arial" w:cs="Arial"/>
          <w:sz w:val="22"/>
          <w:szCs w:val="22"/>
        </w:rPr>
        <w:t xml:space="preserve">The chemical industry is the UK's largest manufacturing export sector (CIA, Nov 2011) and analytical chemistry / quality control is one of the main employment areas for graduate and postgraduate level scientists. Analytical chemists can </w:t>
      </w:r>
      <w:r w:rsidRPr="503DC450">
        <w:rPr>
          <w:rFonts w:ascii="Arial" w:hAnsi="Arial" w:cs="Arial"/>
          <w:sz w:val="22"/>
          <w:szCs w:val="22"/>
        </w:rPr>
        <w:t>find employment</w:t>
      </w:r>
      <w:r w:rsidRPr="503DC450">
        <w:rPr>
          <w:rFonts w:ascii="Arial" w:hAnsi="Arial" w:cs="Arial"/>
          <w:sz w:val="22"/>
          <w:szCs w:val="22"/>
        </w:rPr>
        <w:t xml:space="preserve"> either with </w:t>
      </w:r>
      <w:r w:rsidRPr="503DC450">
        <w:rPr>
          <w:rFonts w:ascii="Arial" w:hAnsi="Arial" w:cs="Arial"/>
          <w:sz w:val="22"/>
          <w:szCs w:val="22"/>
        </w:rPr>
        <w:t xml:space="preserve">chemical companies or contract laboratories such as The Laboratory of the Government Chemist </w:t>
      </w:r>
      <w:r w:rsidRPr="503DC450">
        <w:rPr>
          <w:rFonts w:ascii="Arial" w:hAnsi="Arial" w:cs="Arial"/>
          <w:sz w:val="22"/>
          <w:szCs w:val="22"/>
        </w:rPr>
        <w:t>( LGC )</w:t>
      </w:r>
      <w:r w:rsidRPr="503DC450">
        <w:rPr>
          <w:rFonts w:ascii="Arial" w:hAnsi="Arial" w:cs="Arial"/>
          <w:sz w:val="22"/>
          <w:szCs w:val="22"/>
        </w:rPr>
        <w:t xml:space="preserve"> however there is a large and diverse range of related industries including water quality/environmental analysis, plastics industry, defence in</w:t>
      </w:r>
      <w:r w:rsidRPr="503DC450">
        <w:rPr>
          <w:rFonts w:ascii="Arial" w:hAnsi="Arial" w:cs="Arial"/>
          <w:sz w:val="22"/>
          <w:szCs w:val="22"/>
        </w:rPr>
        <w:t xml:space="preserve">dustry, food industry, healthcare and consumer products that all employ analytical chemists, </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Furthermore the specialism is a major source of employment for scientists in forensics, bioanalysis, clinical analysis, environmental analysis, and materials.</w:t>
      </w:r>
      <w:r w:rsidRPr="503DC450">
        <w:rPr>
          <w:rFonts w:ascii="Arial" w:hAnsi="Arial" w:cs="Arial"/>
          <w:sz w:val="22"/>
          <w:szCs w:val="22"/>
        </w:rPr>
        <w:t xml:space="preserve">  </w:t>
      </w:r>
      <w:r w:rsidRPr="503DC450">
        <w:rPr>
          <w:rFonts w:ascii="Arial" w:hAnsi="Arial" w:cs="Arial"/>
          <w:sz w:val="22"/>
          <w:szCs w:val="22"/>
        </w:rPr>
        <w:t>They perform a variety of roles including laboratory technical support, laboratory management, forensic investigations (sampling, chemical analysis and data interpretation) and are expected to present evidence through formal reports or directly in court.</w:t>
      </w:r>
      <w:r w:rsidRPr="503DC450">
        <w:rPr>
          <w:rFonts w:ascii="Arial" w:hAnsi="Arial" w:cs="Arial"/>
          <w:sz w:val="22"/>
          <w:szCs w:val="22"/>
        </w:rPr>
        <w:t xml:space="preserve">  </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The course would also prepare students for a PhD in </w:t>
      </w:r>
      <w:r w:rsidRPr="503DC450">
        <w:rPr>
          <w:rFonts w:ascii="Arial" w:hAnsi="Arial" w:cs="Arial"/>
          <w:sz w:val="22"/>
          <w:szCs w:val="22"/>
        </w:rPr>
        <w:t>chemical analysis, instrumentation</w:t>
      </w:r>
      <w:r w:rsidRPr="503DC450">
        <w:rPr>
          <w:rFonts w:ascii="Arial" w:hAnsi="Arial" w:cs="Arial"/>
          <w:sz w:val="22"/>
          <w:szCs w:val="22"/>
        </w:rPr>
        <w:t xml:space="preserve"> or related disciplines.</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Recent surveys indicate most of our graduates finding employment/further education less than 6 months after graduation in many of the areas m</w:t>
      </w:r>
      <w:r w:rsidRPr="503DC450">
        <w:rPr>
          <w:rFonts w:ascii="Arial" w:hAnsi="Arial" w:cs="Arial"/>
          <w:sz w:val="22"/>
          <w:szCs w:val="22"/>
        </w:rPr>
        <w:t>entioned above.</w:t>
      </w:r>
      <w:r w:rsidRPr="503DC450">
        <w:rPr>
          <w:rFonts w:ascii="Arial" w:hAnsi="Arial" w:cs="Arial"/>
          <w:sz w:val="22"/>
          <w:szCs w:val="22"/>
        </w:rPr>
        <w:t xml:space="preserve">  </w:t>
      </w:r>
      <w:r w:rsidRPr="503DC450">
        <w:rPr>
          <w:rFonts w:ascii="Arial" w:hAnsi="Arial" w:cs="Arial"/>
          <w:sz w:val="22"/>
          <w:szCs w:val="22"/>
        </w:rPr>
        <w:t>Examples of recent graduate employment include Materials Manger at Dubai Cables and Senior Analyst at AWRE, Aldermaston.</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4"/>
          <w:szCs w:val="24"/>
        </w:rPr>
        <w:t>Depending on availability, MSc projects may be taken in industry and the professional placement route offers 10-12 months vocational experience in up to 2 settings.</w:t>
      </w:r>
    </w:p>
    <w:p w:rsidRPr="503DC450" w:rsidP="00A92C9B">
      <w:pPr>
        <w:rPr>
          <w:rFonts w:ascii="Arial" w:hAnsi="Arial" w:cs="Arial"/>
          <w:sz w:val="22"/>
          <w:szCs w:val="22"/>
        </w:rPr>
      </w:pPr>
      <w:r w:rsidRPr="503DC450">
        <w:rPr>
          <w:rFonts w:ascii="Arial" w:hAnsi="Arial" w:cs="Arial"/>
          <w:sz w:val="24"/>
          <w:szCs w:val="24"/>
        </w:rPr>
        <w:t>While it is the responsibility of individual students to secure such placements, the Careers and Employability Service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Pr="503DC450" w:rsidP="00A92C9B">
      <w:pPr>
        <w:rPr>
          <w:rFonts w:ascii="Arial" w:hAnsi="Arial" w:cs="Arial"/>
          <w:sz w:val="22"/>
          <w:szCs w:val="22"/>
        </w:rPr>
      </w:pPr>
      <w:r w:rsidRPr="503DC450">
        <w:rPr>
          <w:rFonts w:ascii="Arial" w:hAnsi="Arial" w:cs="Arial"/>
          <w:sz w:val="24"/>
          <w:szCs w:val="24"/>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Pr="503DC450" w:rsidP="00A92C9B">
      <w:pPr>
        <w:rPr>
          <w:rFonts w:ascii="Arial" w:hAnsi="Arial" w:cs="Arial"/>
          <w:sz w:val="22"/>
          <w:szCs w:val="22"/>
        </w:rPr>
      </w:pPr>
      <w:r w:rsidRPr="503DC450">
        <w:rPr>
          <w:rFonts w:ascii="Arial" w:hAnsi="Arial" w:cs="Arial"/>
          <w:sz w:val="24"/>
          <w:szCs w:val="24"/>
        </w:rPr>
        <w:t xml:space="preserve">Students who undertake work-based placements often benefit greatly from the experience, gaining real experience and work achievements.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Royal Society of Chemistry – Analytical Division. http://www.rsc.org/Membership/Networking/InterestGroups/Analytical/</w:t>
      </w:r>
    </w:p>
    <w:p w:rsidRPr="503DC450" w:rsidP="00A92C9B">
      <w:pPr>
        <w:rPr>
          <w:rFonts w:ascii="Arial" w:hAnsi="Arial" w:cs="Arial"/>
          <w:sz w:val="22"/>
          <w:szCs w:val="22"/>
        </w:rPr>
      </w:pPr>
      <w:r w:rsidRPr="503DC450">
        <w:rPr>
          <w:rFonts w:ascii="Arial" w:hAnsi="Arial" w:cs="Arial"/>
          <w:sz w:val="22"/>
          <w:szCs w:val="22"/>
        </w:rPr>
        <w:t>Chemical Industries Association http://www.cia.org.uk/ </w:t>
      </w:r>
    </w:p>
    <w:p w:rsidRPr="503DC450" w:rsidP="00A92C9B">
      <w:pPr>
        <w:rPr>
          <w:rFonts w:ascii="Arial" w:hAnsi="Arial" w:cs="Arial"/>
          <w:sz w:val="22"/>
          <w:szCs w:val="22"/>
        </w:rPr>
      </w:pPr>
      <w:r w:rsidRPr="503DC450">
        <w:rPr>
          <w:rFonts w:ascii="Arial" w:hAnsi="Arial" w:cs="Arial"/>
          <w:sz w:val="22"/>
          <w:szCs w:val="22"/>
        </w:rPr>
        <w:t>QAA benchmark for Chemistry: http://qaa.ac.uk/docs/qaa/subject-benchmark-statements/sbs-chemistry-14-masters.pdf?sfvrsn=f290f681_16</w:t>
      </w:r>
    </w:p>
    <w:p w:rsidRPr="503DC450" w:rsidP="00A92C9B">
      <w:pPr>
        <w:rPr>
          <w:rFonts w:ascii="Arial" w:hAnsi="Arial" w:cs="Arial"/>
          <w:sz w:val="22"/>
          <w:szCs w:val="22"/>
        </w:rPr>
      </w:pPr>
      <w:r w:rsidRPr="503DC450">
        <w:rPr>
          <w:rFonts w:ascii="Arial" w:hAnsi="Arial" w:cs="Arial"/>
          <w:sz w:val="22"/>
          <w:szCs w:val="22"/>
        </w:rPr>
        <w:t>Kingston University website http://www.kingston.ac.uk/postgraduate-course/analytical-chemistry-msc/</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95"/>
        <w:gridCol w:w="795"/>
        <w:gridCol w:w="795"/>
        <w:gridCol w:w="795"/>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921A3E7-35A2-4E68-ADAB-0CAED4DDFBB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