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Analysis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Analysis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Analysis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Analysis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PPPHA1PHA01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PFPHA1PHA02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Analysis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Analysis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Analysis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PFPHA1PHA99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Analysis with Regulatory Affairs</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Analysis with Regulatory Affairs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Analysis with Regulatory Affairs</w:t>
            </w: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PPPRA1PRA20</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PFPRA1PRA20</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Analysis with Regulatory Affairs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Analysis with Regulatory Affairs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Analysis with Regulatory Affairs with Professional Placement</w:t>
            </w: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PFPRA1PRA99</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post-graduates with key problem-solving, practical and IT skills in preparation for their careers in a variety of work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create a pedagogic environment where a broad range of pharmaceutical analysts can enthusiastically pursue their subject in an atmosphere in which teamwork, exchange of ideas and debate are encouraged;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courses relevant to the needs of the pharmaceutical industry that will enhance the employability of students after graduation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problem-solving, practical, IT and key (transferable) skills derived from the collection, analysis, interpretation and representation of data and information in preparation for their careers in a variety of work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the independent learning ability required for continuing professional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flexible programmes of study to suit the needs of students in employment and their employers.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all students to study both separation science and atomic and molecular spectroscopy at an advanced level;</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specialised knowledge of the techniques and applications relating specifically to pharmaceutical Analysis.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opportunities to develop their written and oral communication skills;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identify, locate and critically appraise secondary and primary sources during a research project;</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opportunity to express originality and creativity in the quest for new knowledge, the application of current knowledge to new situations or the analysis of  knowledge from a novel standpoint.</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critical awareness of and engagement with current research methods and techniques.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 year version an opportunity to develop further skills,  preparing them for higher levels of employment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In addition, the aims of the 'with regulatory affairs" pathway are:</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core national and international pharmaceutical regulatory affairs and their application in pharmaceutical manufacturing, enabling students to apply regulatory requirements and guidance to medicines and medicinal products.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In addition, the aims of the professional placement module are:</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experience of working in a professional environment that is relevant to the field of study</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consolidate and apply the range of skills and knowledge acquired in the course of their studies to a work environment and to reflect on and develop these skills and knowledge further</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career prospects through the development of a range of skills that enable students to present themselves effectively, network and make informed decisions about employment and career plans.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process of reflection and promote self-awareness in learning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an opportunity to develop further skills, preparing them for higher levels of employment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to prepare a research report and poster in the correct format and to have an active engagement and familiarity with recent and current research methods, results and publications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understanding of the analytical challenges particular to the pharmaceutical industries, and with reflection and recall of both theoretical and practical skills, surmount these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controlled experiments to investigate qualitative and/or quantitative characteristics of pharmaceutical samples and apply and adapt problem solving skills to unfamiliar, complex and open-ended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a research project operates and undertake research in a logical and safe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carry out and report investigations with an effective self-critical attitude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the pharmaceutical industry and acquire the specialised knowledge to face those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advanced skills in interpretation and discussion of the results of laboratory data, in the context of the wider analytical problem, and recognise the significance of the results to industry/society in general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understanding of the principles and theories introduced in the courses and apply that knowledge to familiar and unfamiliar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implement good scientific and consistent practice (including contamination avoidance), reliably recording methods and results using appropriate methods to critically analyse the data and evaluate the level of its uncertainty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the pharmaceutical analyst in a variety of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competence in the design, planning and execution of practical investigations, selection of appropriate techniques and procedures for carrying out particular pharmaceutical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operate in an efficient manner the techniques used widely in pharmaceutical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and ability to interpret clients’ requirements;acquire specialist knowledge of advanced pharmaceutical analysis techniques and specialised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and resolve the  complex problems that can arise during an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safety requirements including preparing CoSHH 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recommend improvements in methodology, technology or interpretation that enhance the performance of processes and/or procedures in an analytical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Relate academic theory to practice and apply knowledge and skills in a professional context. </w:t>
              <w:tab/>
              <w:t>Autonomously evaluate tasks set in the work place and apply effective communication and problem-solving initiatives to achieve the best outcome for the employer.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is made up of four taught modules each worth 30 credit points and a research project worth 60 credits (180 credits total). All students will be provided with the University regulations (Postgraduate Credit Framework)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Analysis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Analysis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Molecular and Atomic Spectroscopy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&amp;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and Analytical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Separation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Statistics and Quality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Analysis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Analysis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plus the placement module, are eligible for the award of Postgraduate Certificate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plus the placement module, are eligible for the award of Postgraduate Diploma with Professional Placement.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Analysis with Regulatory Affairs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Analysis with Regulatory Affairs</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Molecular and Atomic Spectroscopy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and Analytical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Regulatory Affairs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Separation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Analysis with Regulatory Affairs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2"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E"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Analysis with Regulatory Affairs with Professional Placement</w:t>
            </w:r>
          </w:p>
        </w:tc>
      </w:tr>
      <w:tr w14:paraId="17F545E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Molecular and Atomic Spectroscopy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and Analytical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Regulatory Affairs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Separation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25"/>
        <w:gridCol w:w="367"/>
        <w:gridCol w:w="941"/>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CH7180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Entry will be permitted in September (TB1) and January (TB2).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F2E800B-F169-4C17-B42D-963B0A01AE3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