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Cancer Biology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30/06/2014</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10/07/2024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02/09/2024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Health, Science, Social Care &amp; Education</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Life Sciences, Pharmacy and Chemistry</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Applied &amp; Human Sciences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Cancer Biology</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Postgraduate Certificate in Cancer Biology</w:t>
            </w:r>
            <w:r>
              <w:br/>
            </w:r>
            <w:r w:rsidRPr="01DA1EA0" w:rsidR="12C816DE">
              <w:rPr>
                <w:rFonts w:ascii="Arial" w:hAnsi="Arial" w:cs="Arial"/>
                <w:sz w:val="22"/>
                <w:szCs w:val="22"/>
              </w:rPr>
              <w:t>Postgraduate Diploma in Cancer Biology</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7</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good second class honours degree in a human biology related discipline, containing a significant component of immunology and subjects relevant to the chosen specialist route</w:t>
            </w:r>
            <w:r>
              <w:rPr>
                <w:rStyle w:val="normaltextrun"/>
                <w:rFonts w:ascii="Arial" w:hAnsi="Arial" w:cs="Arial"/>
                <w:color w:val="000000"/>
                <w:sz w:val="22"/>
                <w:szCs w:val="22"/>
                <w:shd w:val="clear" w:color="auto" w:fill="FFFFFF"/>
              </w:rPr>
              <w:t>.</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Applicants with qualifications that do not meet these requirements, but with significant professional experience, may also be considered.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minimum IELTS score of 6.5, with 6.0 in Writing and no sections less than 5.5 (or equivalent) is required for t</w:t>
            </w:r>
            <w:r>
              <w:rPr>
                <w:rStyle w:val="normaltextrun"/>
                <w:rFonts w:ascii="Arial" w:hAnsi="Arial" w:cs="Arial"/>
                <w:color w:val="000000"/>
                <w:sz w:val="22"/>
                <w:szCs w:val="22"/>
                <w:shd w:val="clear" w:color="auto" w:fill="FFFFFF"/>
              </w:rPr>
              <w:t>h</w:t>
            </w:r>
            <w:r>
              <w:rPr>
                <w:rStyle w:val="normaltextrun"/>
                <w:rFonts w:ascii="Arial" w:hAnsi="Arial" w:cs="Arial"/>
                <w:color w:val="000000"/>
                <w:sz w:val="22"/>
                <w:szCs w:val="22"/>
                <w:shd w:val="clear" w:color="auto" w:fill="FFFFFF"/>
              </w:rPr>
              <w:t>ose for whom English is not their first language.</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IBMS</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N/A</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36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None</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aims of the MSc Cancer Biology programme are;</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and extend students’ knowledge of topics in cancer biology beyond an honours degree level.</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produce graduates with a knowledge and skills base that allows p</w:t>
      </w:r>
      <w:r w:rsidRPr="007C4290">
        <w:rPr>
          <w:rStyle w:val="normaltextrun"/>
          <w:rFonts w:ascii="Arial" w:hAnsi="Arial" w:cs="Arial"/>
          <w:color w:val="000000" w:themeColor="text1"/>
          <w:shd w:val="clear" w:color="auto" w:fill="FFFFFF"/>
        </w:rPr>
        <w:t>u</w:t>
      </w:r>
      <w:r w:rsidRPr="007C4290">
        <w:rPr>
          <w:rStyle w:val="normaltextrun"/>
          <w:rFonts w:ascii="Arial" w:hAnsi="Arial" w:cs="Arial"/>
          <w:color w:val="000000" w:themeColor="text1"/>
          <w:shd w:val="clear" w:color="auto" w:fill="FFFFFF"/>
        </w:rPr>
        <w:t xml:space="preserve">rsuit of lifelong learning and careers in a wide variety of work environments. </w:t>
      </w:r>
      <w:r w:rsidRPr="007C4290">
        <w:rPr>
          <w:rStyle w:val="normaltextrun"/>
          <w:rFonts w:ascii="Arial" w:hAnsi="Arial" w:cs="Arial"/>
          <w:color w:val="000000" w:themeColor="text1"/>
          <w:shd w:val="clear" w:color="auto" w:fill="FFFFFF"/>
        </w:rPr>
        <w:t>to encourage students to develop an informed, reflective and critically analytical approach to the subject of cancer biology Biomedical Science.</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provide an education in the </w:t>
      </w:r>
      <w:r w:rsidRPr="007C4290">
        <w:rPr>
          <w:rStyle w:val="normaltextrun"/>
          <w:rFonts w:ascii="Arial" w:hAnsi="Arial" w:cs="Arial"/>
          <w:color w:val="000000" w:themeColor="text1"/>
          <w:shd w:val="clear" w:color="auto" w:fill="FFFFFF"/>
        </w:rPr>
        <w:t>t</w:t>
      </w:r>
      <w:r w:rsidRPr="007C4290">
        <w:rPr>
          <w:rStyle w:val="normaltextrun"/>
          <w:rFonts w:ascii="Arial" w:hAnsi="Arial" w:cs="Arial"/>
          <w:color w:val="000000" w:themeColor="text1"/>
          <w:shd w:val="clear" w:color="auto" w:fill="FFFFFF"/>
        </w:rPr>
        <w:t>heoretical and applied aspects of pathology at cellular and systemic levels, and to convey an understanding of the principles of cancer diagnosis and monitoring and of the biological basis of different cancer treatment modalities.</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a theoretical</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background to factors governing the design, selection and interpretation of laboratory investigative techniques and treatment strategies in haematological malignancies and solid cancers.</w:t>
      </w:r>
    </w:p>
    <w:p w:rsidRPr="007C4290" w:rsidP="00A92C9B">
      <w:pPr>
        <w:pStyle w:val="ListParagraph"/>
        <w:numPr>
          <w:ilvl w:val="0"/>
          <w:numId w:val="14"/>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further develop the ability to source information and to understa</w:t>
      </w:r>
      <w:r w:rsidRPr="007C4290">
        <w:rPr>
          <w:rStyle w:val="normaltextrun"/>
          <w:rFonts w:ascii="Arial" w:hAnsi="Arial" w:cs="Arial"/>
          <w:color w:val="000000" w:themeColor="text1"/>
          <w:shd w:val="clear" w:color="auto" w:fill="FFFFFF"/>
        </w:rPr>
        <w:t>n</w:t>
      </w:r>
      <w:r w:rsidRPr="007C4290">
        <w:rPr>
          <w:rStyle w:val="normaltextrun"/>
          <w:rFonts w:ascii="Arial" w:hAnsi="Arial" w:cs="Arial"/>
          <w:color w:val="000000" w:themeColor="text1"/>
          <w:shd w:val="clear" w:color="auto" w:fill="FFFFFF"/>
        </w:rPr>
        <w:t>d and critically appraise a research paper or article, including an assessment of the experimental design and methods of statistical analysis.</w:t>
      </w:r>
    </w:p>
    <w:p w:rsidRPr="007C4290" w:rsidP="00A92C9B">
      <w:pPr>
        <w:pStyle w:val="ListParagraph"/>
        <w:numPr>
          <w:ilvl w:val="0"/>
          <w:numId w:val="15"/>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enable students to carry out an independent research project related to cancer biology, and to communicate re</w:t>
      </w:r>
      <w:r w:rsidRPr="007C4290">
        <w:rPr>
          <w:rStyle w:val="normaltextrun"/>
          <w:rFonts w:ascii="Arial" w:hAnsi="Arial" w:cs="Arial"/>
          <w:color w:val="000000" w:themeColor="text1"/>
          <w:shd w:val="clear" w:color="auto" w:fill="FFFFFF"/>
        </w:rPr>
        <w:t>s</w:t>
      </w:r>
      <w:r w:rsidRPr="007C4290">
        <w:rPr>
          <w:rStyle w:val="normaltextrun"/>
          <w:rFonts w:ascii="Arial" w:hAnsi="Arial" w:cs="Arial"/>
          <w:color w:val="000000" w:themeColor="text1"/>
          <w:shd w:val="clear" w:color="auto" w:fill="FFFFFF"/>
        </w:rPr>
        <w:t>ults in a variety of formats.</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The field/course </w:t>
      </w:r>
      <w:r w:rsidRPr="007C4290">
        <w:rPr>
          <w:rStyle w:val="normaltextrun"/>
          <w:rFonts w:ascii="Arial" w:hAnsi="Arial" w:cs="Arial"/>
          <w:color w:val="000000" w:themeColor="text1"/>
          <w:sz w:val="22"/>
          <w:szCs w:val="22"/>
          <w:shd w:val="clear" w:color="auto" w:fill="FFFFFF"/>
        </w:rPr>
        <w:t>provides opportunities for students to develop and demonstrate knowledge and understanding</w:t>
      </w:r>
      <w:r w:rsidRPr="007C4290">
        <w:rPr>
          <w:rStyle w:val="normaltextrun"/>
          <w:rFonts w:ascii="Arial" w:hAnsi="Arial" w:cs="Arial"/>
          <w:color w:val="000000" w:themeColor="text1"/>
          <w:sz w:val="22"/>
          <w:szCs w:val="22"/>
          <w:shd w:val="clear" w:color="auto" w:fill="FFFFFF"/>
        </w:rPr>
        <w:t xml:space="preserve"> specific to the subject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key </w:t>
      </w:r>
      <w:r w:rsidRPr="007C4290">
        <w:rPr>
          <w:rStyle w:val="normaltextrun"/>
          <w:rFonts w:ascii="Arial" w:hAnsi="Arial" w:cs="Arial"/>
          <w:color w:val="000000" w:themeColor="text1"/>
          <w:sz w:val="22"/>
          <w:szCs w:val="22"/>
          <w:shd w:val="clear" w:color="auto" w:fill="FFFFFF"/>
        </w:rPr>
        <w:t xml:space="preserve">skills and </w:t>
      </w:r>
      <w:r w:rsidRPr="007C4290">
        <w:rPr>
          <w:rStyle w:val="normaltextrun"/>
          <w:rFonts w:ascii="Arial" w:hAnsi="Arial" w:cs="Arial"/>
          <w:color w:val="000000" w:themeColor="text1"/>
          <w:sz w:val="22"/>
          <w:szCs w:val="22"/>
          <w:shd w:val="clear" w:color="auto" w:fill="FFFFFF"/>
        </w:rPr>
        <w:t>graduate</w:t>
      </w:r>
      <w:r w:rsidRPr="007C4290">
        <w:rPr>
          <w:rStyle w:val="normaltextrun"/>
          <w:rFonts w:ascii="Arial" w:hAnsi="Arial" w:cs="Arial"/>
          <w:color w:val="000000" w:themeColor="text1"/>
          <w:sz w:val="22"/>
          <w:szCs w:val="22"/>
          <w:shd w:val="clear" w:color="auto" w:fill="FFFFFF"/>
        </w:rPr>
        <w:t xml:space="preserve"> attributes in the following areas.</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The</w:t>
      </w:r>
      <w:r w:rsidRPr="007C4290">
        <w:rPr>
          <w:rStyle w:val="normaltextrun"/>
          <w:rFonts w:ascii="Arial" w:hAnsi="Arial" w:cs="Arial"/>
          <w:color w:val="000000" w:themeColor="text1"/>
          <w:sz w:val="22"/>
          <w:szCs w:val="22"/>
          <w:shd w:val="clear" w:color="auto" w:fill="FFFFFF"/>
        </w:rPr>
        <w:t>r</w:t>
      </w:r>
      <w:r w:rsidRPr="007C4290">
        <w:rPr>
          <w:rStyle w:val="normaltextrun"/>
          <w:rFonts w:ascii="Arial" w:hAnsi="Arial" w:cs="Arial"/>
          <w:color w:val="000000" w:themeColor="text1"/>
          <w:sz w:val="22"/>
          <w:szCs w:val="22"/>
          <w:shd w:val="clear" w:color="auto" w:fill="FFFFFF"/>
        </w:rPr>
        <w:t xml:space="preserve">e are no QAA benchmarks for this subject at level 7, but the programme outcomes are referenced to the Framework </w:t>
      </w:r>
      <w:r w:rsidRPr="007C4290">
        <w:rPr>
          <w:rStyle w:val="normaltextrun"/>
          <w:rFonts w:ascii="Arial" w:hAnsi="Arial" w:cs="Arial"/>
          <w:color w:val="000000" w:themeColor="text1"/>
          <w:sz w:val="22"/>
          <w:szCs w:val="22"/>
          <w:shd w:val="clear" w:color="auto" w:fill="FFFFFF"/>
        </w:rPr>
        <w:t>for Higher Education Qualifications</w:t>
      </w:r>
      <w:r w:rsidRPr="007C4290">
        <w:rPr>
          <w:rStyle w:val="normaltextrun"/>
          <w:rFonts w:ascii="Arial" w:hAnsi="Arial" w:cs="Arial"/>
          <w:color w:val="000000" w:themeColor="text1"/>
          <w:sz w:val="22"/>
          <w:szCs w:val="22"/>
          <w:shd w:val="clear" w:color="auto" w:fill="FFFFFF"/>
        </w:rPr>
        <w:t xml:space="preserve"> in England, Wales and Northern Ireland (2008), a</w:t>
      </w:r>
      <w:r w:rsidRPr="007C4290">
        <w:rPr>
          <w:rStyle w:val="normaltextrun"/>
          <w:rFonts w:ascii="Arial" w:hAnsi="Arial" w:cs="Arial"/>
          <w:color w:val="000000" w:themeColor="text1"/>
          <w:sz w:val="22"/>
          <w:szCs w:val="22"/>
          <w:shd w:val="clear" w:color="auto" w:fill="FFFFFF"/>
        </w:rPr>
        <w:t>n</w:t>
      </w:r>
      <w:r w:rsidRPr="007C4290">
        <w:rPr>
          <w:rStyle w:val="normaltextrun"/>
          <w:rFonts w:ascii="Arial" w:hAnsi="Arial" w:cs="Arial"/>
          <w:color w:val="000000" w:themeColor="text1"/>
          <w:sz w:val="22"/>
          <w:szCs w:val="22"/>
          <w:shd w:val="clear" w:color="auto" w:fill="FFFFFF"/>
        </w:rPr>
        <w:t>d relate to the typical student.</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A10</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statistical and computing techniques required to assess and present their own data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B8</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present their own research in a clear and concise fashion in writing and in scientific presentations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new and/or improved practical skills and apply them in a research setting</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A9</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ethical implications of scientific research in the field of cancer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B7</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to critically evaluate their own findings as well as those of others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skills in the evaluation, presentation and interpretation of laboratory data</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A8</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principles of objective scientific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have the ability to apply independent judgement and original thought in a variety of contexts relevant to Cancer Biology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competence in a range of practical and analytical techniques appropriate to Cancer Science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methologies and clinical rationale of diagnosis and therapy of different solid cancers and haematological malignancies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use their generic intellectual and key skills in their lifelong learning and future employment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understand, and be able to comply with, safety in the laboratory</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role of the pathology laboratory within the wider context of health care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assemble, interpret and critically evaluate information and data from a variety of sources (including academic literature)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apply their subject specific knowledge to the planning, design and delivery of an experimental research project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principles and applications of a range of molecular techniques relevant to Cancer Biology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apply subject knowledge and understanding to the solving of problems in Cancer Biology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biological basis of disease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 ability to learn independently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2"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principles of constructive criticism in Cancer Science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undertake the analysis and interpretation of experimental data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3"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principles and practice of a variety of topics in Cancer Biology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4"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human immune system, its components and interactions at a molecular level and the relationship between the science of immunology  and the aetiology and diagnosis of disease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academic year is made up of four modules each worth 30 credit points and a summer research project module worth 60 credit points. All students will be provided with the University regulations. Full details of each module will be provided in module descriptors and student module guides.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Cancer Biology</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Cancer Biology</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Cancer Diagnosis and Therapy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LS7007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Cellular and Molecular Biology of Cancer</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Immunology and the Biology of Disease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Techniques &amp; Scientific Communication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jc w:val="both"/>
        <w:rPr>
          <w:rFonts w:ascii="Arial" w:hAnsi="Arial" w:cs="Arial"/>
          <w:sz w:val="22"/>
          <w:szCs w:val="22"/>
        </w:rPr>
      </w:pPr>
      <w:r w:rsidRPr="503DC450">
        <w:rPr>
          <w:rFonts w:ascii="Arial" w:hAnsi="Arial" w:cs="Arial"/>
          <w:sz w:val="22"/>
          <w:szCs w:val="22"/>
        </w:rPr>
        <w:t xml:space="preserve">Keeping in view the varied academic background of the students doing the MSc in Cancer Biology, teaching and assessment on this programme is designed to ensure that can learn effectively. </w:t>
      </w:r>
    </w:p>
    <w:p w:rsidRPr="503DC450" w:rsidP="007D20BC">
      <w:pPr>
        <w:jc w:val="both"/>
        <w:rPr>
          <w:rFonts w:ascii="Arial" w:hAnsi="Arial" w:cs="Arial"/>
          <w:sz w:val="22"/>
          <w:szCs w:val="22"/>
        </w:rPr>
      </w:pPr>
      <w:r w:rsidRPr="503DC450">
        <w:rPr>
          <w:rFonts w:ascii="Arial" w:hAnsi="Arial" w:cs="Arial"/>
          <w:sz w:val="22"/>
          <w:szCs w:val="22"/>
        </w:rPr>
        <w:t>The Research</w:t>
      </w:r>
      <w:r w:rsidRPr="503DC450">
        <w:rPr>
          <w:rFonts w:ascii="Arial" w:hAnsi="Arial" w:cs="Arial"/>
          <w:sz w:val="22"/>
          <w:szCs w:val="22"/>
        </w:rPr>
        <w:t xml:space="preserve"> </w:t>
      </w:r>
      <w:r w:rsidRPr="503DC450">
        <w:rPr>
          <w:rFonts w:ascii="Arial" w:hAnsi="Arial" w:cs="Arial"/>
          <w:sz w:val="22"/>
          <w:szCs w:val="22"/>
        </w:rPr>
        <w:t>Project, wh</w:t>
      </w:r>
      <w:r w:rsidRPr="503DC450">
        <w:rPr>
          <w:rFonts w:ascii="Arial" w:hAnsi="Arial" w:cs="Arial"/>
          <w:sz w:val="22"/>
          <w:szCs w:val="22"/>
        </w:rPr>
        <w:t>ich comprises one third of the programme, is designed as a ‘capstone’ project, and aims to give students the opportunity to use and synthesise the knowledge and skills they have acquired during their degree e.g. by using a</w:t>
      </w:r>
      <w:r w:rsidRPr="503DC450">
        <w:rPr>
          <w:rFonts w:ascii="Arial" w:hAnsi="Arial" w:cs="Arial"/>
          <w:sz w:val="22"/>
          <w:szCs w:val="22"/>
        </w:rPr>
        <w:t>pplied “real world lea</w:t>
      </w:r>
      <w:r w:rsidRPr="503DC450">
        <w:rPr>
          <w:rFonts w:ascii="Arial" w:hAnsi="Arial" w:cs="Arial"/>
          <w:sz w:val="22"/>
          <w:szCs w:val="22"/>
        </w:rPr>
        <w:t>r</w:t>
      </w:r>
      <w:r w:rsidRPr="503DC450">
        <w:rPr>
          <w:rFonts w:ascii="Arial" w:hAnsi="Arial" w:cs="Arial"/>
          <w:sz w:val="22"/>
          <w:szCs w:val="22"/>
        </w:rPr>
        <w:t>ning” (such</w:t>
      </w:r>
      <w:r w:rsidRPr="503DC450">
        <w:rPr>
          <w:rFonts w:ascii="Arial" w:hAnsi="Arial" w:cs="Arial"/>
          <w:sz w:val="22"/>
          <w:szCs w:val="22"/>
        </w:rPr>
        <w:t xml:space="preserve"> working on a live project for an employer), presenting work in formats appropriate to wider audiences, practice new and/or improved laboratory skills, and most importantly demonstrate the ability to independently solve complex problems</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There </w:t>
      </w:r>
      <w:r w:rsidRPr="503DC450">
        <w:rPr>
          <w:rFonts w:ascii="Arial" w:hAnsi="Arial" w:cs="Arial"/>
          <w:sz w:val="22"/>
          <w:szCs w:val="22"/>
        </w:rPr>
        <w:t>a</w:t>
      </w:r>
      <w:r w:rsidRPr="503DC450">
        <w:rPr>
          <w:rFonts w:ascii="Arial" w:hAnsi="Arial" w:cs="Arial"/>
          <w:sz w:val="22"/>
          <w:szCs w:val="22"/>
        </w:rPr>
        <w:t>re four Cur</w:t>
      </w:r>
      <w:r w:rsidRPr="503DC450">
        <w:rPr>
          <w:rFonts w:ascii="Arial" w:hAnsi="Arial" w:cs="Arial"/>
          <w:sz w:val="22"/>
          <w:szCs w:val="22"/>
        </w:rPr>
        <w:t>riculum Design Principles. These have been utilised within the teaching, learning and assessment regimes for the course as follows:</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numPr>
          <w:ilvl w:val="0"/>
          <w:numId w:val="16"/>
        </w:numPr>
        <w:ind w:left="720" w:right="0" w:hanging="360"/>
        <w:jc w:val="both"/>
        <w:rPr>
          <w:rFonts w:ascii="Arial" w:hAnsi="Arial" w:cs="Arial"/>
          <w:sz w:val="22"/>
          <w:szCs w:val="22"/>
        </w:rPr>
      </w:pPr>
      <w:r w:rsidRPr="503DC450">
        <w:rPr>
          <w:rFonts w:ascii="Arial" w:hAnsi="Arial" w:cs="Arial"/>
          <w:sz w:val="22"/>
          <w:szCs w:val="22"/>
        </w:rPr>
        <w:t>Assessment for learning designed at course level with opportunities for feedback and ‘feedforward’ explicitly s</w:t>
      </w:r>
      <w:r w:rsidRPr="503DC450">
        <w:rPr>
          <w:rFonts w:ascii="Arial" w:hAnsi="Arial" w:cs="Arial"/>
          <w:sz w:val="22"/>
          <w:szCs w:val="22"/>
        </w:rPr>
        <w:t>p</w:t>
      </w:r>
      <w:r w:rsidRPr="503DC450">
        <w:rPr>
          <w:rFonts w:ascii="Arial" w:hAnsi="Arial" w:cs="Arial"/>
          <w:sz w:val="22"/>
          <w:szCs w:val="22"/>
        </w:rPr>
        <w:t xml:space="preserve">ecified at </w:t>
      </w:r>
      <w:r w:rsidRPr="503DC450">
        <w:rPr>
          <w:rFonts w:ascii="Arial" w:hAnsi="Arial" w:cs="Arial"/>
          <w:sz w:val="22"/>
          <w:szCs w:val="22"/>
        </w:rPr>
        <w:t>the design stage</w:t>
      </w:r>
    </w:p>
    <w:p w:rsidRPr="503DC450" w:rsidP="007D20BC">
      <w:pPr>
        <w:numPr>
          <w:ilvl w:val="1"/>
          <w:numId w:val="16"/>
        </w:numPr>
        <w:ind w:left="1440" w:right="0" w:hanging="360"/>
        <w:jc w:val="both"/>
        <w:rPr>
          <w:rFonts w:ascii="Arial" w:hAnsi="Arial" w:cs="Arial"/>
          <w:sz w:val="22"/>
          <w:szCs w:val="22"/>
        </w:rPr>
      </w:pPr>
      <w:r w:rsidRPr="503DC450">
        <w:rPr>
          <w:rFonts w:ascii="Arial" w:hAnsi="Arial" w:cs="Arial"/>
          <w:sz w:val="22"/>
          <w:szCs w:val="22"/>
        </w:rPr>
        <w:t>All Assessments have been designed at level 7, as appropriate for the MSc, and in a manner that encourages students to link each assessment with intended learning outcomes. For example, in LS7007 (Cancer Diagnosis and Therapy),</w:t>
      </w:r>
      <w:r w:rsidRPr="503DC450">
        <w:rPr>
          <w:rFonts w:ascii="Arial" w:hAnsi="Arial" w:cs="Arial"/>
          <w:sz w:val="22"/>
          <w:szCs w:val="22"/>
        </w:rPr>
        <w:t xml:space="preserve"> </w:t>
      </w:r>
      <w:r w:rsidRPr="503DC450">
        <w:rPr>
          <w:rFonts w:ascii="Arial" w:hAnsi="Arial" w:cs="Arial"/>
          <w:sz w:val="22"/>
          <w:szCs w:val="22"/>
        </w:rPr>
        <w:t>students ar</w:t>
      </w:r>
      <w:r w:rsidRPr="503DC450">
        <w:rPr>
          <w:rFonts w:ascii="Arial" w:hAnsi="Arial" w:cs="Arial"/>
          <w:sz w:val="22"/>
          <w:szCs w:val="22"/>
        </w:rPr>
        <w:t>e offered a formative assessment in the form of a short report on a diagnostic technique or treatment modality for a particular type of cancer. This formative assessment precedes the summative assessment of a case study on diagnosis, staging an</w:t>
      </w:r>
      <w:r w:rsidRPr="503DC450">
        <w:rPr>
          <w:rFonts w:ascii="Arial" w:hAnsi="Arial" w:cs="Arial"/>
          <w:sz w:val="22"/>
          <w:szCs w:val="22"/>
        </w:rPr>
        <w:t>d</w:t>
      </w:r>
      <w:r w:rsidRPr="503DC450">
        <w:rPr>
          <w:rFonts w:ascii="Arial" w:hAnsi="Arial" w:cs="Arial"/>
          <w:sz w:val="22"/>
          <w:szCs w:val="22"/>
        </w:rPr>
        <w:t xml:space="preserve"> treatment </w:t>
      </w:r>
      <w:r w:rsidRPr="503DC450">
        <w:rPr>
          <w:rFonts w:ascii="Arial" w:hAnsi="Arial" w:cs="Arial"/>
          <w:sz w:val="22"/>
          <w:szCs w:val="22"/>
        </w:rPr>
        <w:t>of cancer.</w:t>
      </w:r>
    </w:p>
    <w:p w:rsidRPr="503DC450" w:rsidP="007D20BC">
      <w:pPr>
        <w:numPr>
          <w:ilvl w:val="1"/>
          <w:numId w:val="16"/>
        </w:numPr>
        <w:ind w:left="1440" w:right="0" w:hanging="360"/>
        <w:jc w:val="both"/>
        <w:rPr>
          <w:rFonts w:ascii="Arial" w:hAnsi="Arial" w:cs="Arial"/>
          <w:sz w:val="22"/>
          <w:szCs w:val="22"/>
        </w:rPr>
      </w:pPr>
      <w:r w:rsidRPr="503DC450">
        <w:rPr>
          <w:rFonts w:ascii="Arial" w:hAnsi="Arial" w:cs="Arial"/>
          <w:sz w:val="22"/>
          <w:szCs w:val="22"/>
        </w:rPr>
        <w:t>Students will have feedback available for all assessments; including generic and specific feedback to individual students.</w:t>
      </w:r>
    </w:p>
    <w:p w:rsidRPr="503DC450" w:rsidP="007D20BC">
      <w:pPr>
        <w:numPr>
          <w:ilvl w:val="1"/>
          <w:numId w:val="16"/>
        </w:numPr>
        <w:ind w:left="1440" w:right="0" w:hanging="360"/>
        <w:jc w:val="both"/>
        <w:rPr>
          <w:rFonts w:ascii="Arial" w:hAnsi="Arial" w:cs="Arial"/>
          <w:sz w:val="22"/>
          <w:szCs w:val="22"/>
        </w:rPr>
      </w:pPr>
      <w:r w:rsidRPr="503DC450">
        <w:rPr>
          <w:rFonts w:ascii="Arial" w:hAnsi="Arial" w:cs="Arial"/>
          <w:sz w:val="22"/>
          <w:szCs w:val="22"/>
        </w:rPr>
        <w:t>Feedback will enable the students to learn from each assessment experience and feedforward that learning to fu</w:t>
      </w:r>
      <w:r w:rsidRPr="503DC450">
        <w:rPr>
          <w:rFonts w:ascii="Arial" w:hAnsi="Arial" w:cs="Arial"/>
          <w:sz w:val="22"/>
          <w:szCs w:val="22"/>
        </w:rPr>
        <w:t>t</w:t>
      </w:r>
      <w:r w:rsidRPr="503DC450">
        <w:rPr>
          <w:rFonts w:ascii="Arial" w:hAnsi="Arial" w:cs="Arial"/>
          <w:sz w:val="22"/>
          <w:szCs w:val="22"/>
        </w:rPr>
        <w:t>ure assessm</w:t>
      </w:r>
      <w:r w:rsidRPr="503DC450">
        <w:rPr>
          <w:rFonts w:ascii="Arial" w:hAnsi="Arial" w:cs="Arial"/>
          <w:sz w:val="22"/>
          <w:szCs w:val="22"/>
        </w:rPr>
        <w:t>ents, most critically to the final assessments in the summer Research Project module. The ‘</w:t>
      </w:r>
      <w:r w:rsidRPr="503DC450">
        <w:rPr>
          <w:rFonts w:ascii="Arial" w:hAnsi="Arial" w:cs="Arial"/>
          <w:sz w:val="22"/>
          <w:szCs w:val="22"/>
        </w:rPr>
        <w:t>Critical Re</w:t>
      </w:r>
      <w:r w:rsidRPr="503DC450">
        <w:rPr>
          <w:rFonts w:ascii="Arial" w:hAnsi="Arial" w:cs="Arial"/>
          <w:sz w:val="22"/>
          <w:szCs w:val="22"/>
        </w:rPr>
        <w:t>view</w:t>
      </w:r>
      <w:r w:rsidRPr="503DC450">
        <w:rPr>
          <w:rFonts w:ascii="Arial" w:hAnsi="Arial" w:cs="Arial"/>
          <w:sz w:val="22"/>
          <w:szCs w:val="22"/>
        </w:rPr>
        <w:t>’ assessment in LS7001 (Research techniques and scientific communication) is designed to prepare students for their Resea</w:t>
      </w:r>
      <w:r w:rsidRPr="503DC450">
        <w:rPr>
          <w:rFonts w:ascii="Arial" w:hAnsi="Arial" w:cs="Arial"/>
          <w:sz w:val="22"/>
          <w:szCs w:val="22"/>
        </w:rPr>
        <w:t xml:space="preserve">rch Project by </w:t>
      </w:r>
      <w:r w:rsidRPr="503DC450">
        <w:rPr>
          <w:rFonts w:ascii="Arial" w:hAnsi="Arial" w:cs="Arial"/>
          <w:sz w:val="22"/>
          <w:szCs w:val="22"/>
        </w:rPr>
        <w:t>a</w:t>
      </w:r>
      <w:r w:rsidRPr="503DC450">
        <w:rPr>
          <w:rFonts w:ascii="Arial" w:hAnsi="Arial" w:cs="Arial"/>
          <w:sz w:val="22"/>
          <w:szCs w:val="22"/>
        </w:rPr>
        <w:t>llowing the</w:t>
      </w:r>
      <w:r w:rsidRPr="503DC450">
        <w:rPr>
          <w:rFonts w:ascii="Arial" w:hAnsi="Arial" w:cs="Arial"/>
          <w:sz w:val="22"/>
          <w:szCs w:val="22"/>
        </w:rPr>
        <w:t xml:space="preserve">m to consider </w:t>
      </w:r>
      <w:r w:rsidRPr="503DC450">
        <w:rPr>
          <w:rFonts w:ascii="Arial" w:hAnsi="Arial" w:cs="Arial"/>
          <w:sz w:val="22"/>
          <w:szCs w:val="22"/>
        </w:rPr>
        <w:t>needs completion</w:t>
      </w:r>
    </w:p>
    <w:p w:rsidRPr="503DC450" w:rsidP="007D20BC">
      <w:pPr>
        <w:ind w:left="1080"/>
        <w:jc w:val="both"/>
        <w:rPr>
          <w:rFonts w:ascii="Arial" w:hAnsi="Arial" w:cs="Arial"/>
          <w:sz w:val="22"/>
          <w:szCs w:val="22"/>
        </w:rPr>
      </w:pPr>
      <w:r w:rsidRPr="503DC450">
        <w:rPr>
          <w:rFonts w:ascii="Arial" w:hAnsi="Arial" w:cs="Arial"/>
          <w:sz w:val="22"/>
          <w:szCs w:val="22"/>
        </w:rPr>
        <w:t> </w:t>
      </w:r>
    </w:p>
    <w:p w:rsidRPr="503DC450" w:rsidP="007D20BC">
      <w:pPr>
        <w:numPr>
          <w:ilvl w:val="0"/>
          <w:numId w:val="17"/>
        </w:numPr>
        <w:ind w:left="720" w:right="0" w:hanging="360"/>
        <w:jc w:val="both"/>
        <w:rPr>
          <w:rFonts w:ascii="Arial" w:hAnsi="Arial" w:cs="Arial"/>
          <w:sz w:val="22"/>
          <w:szCs w:val="22"/>
        </w:rPr>
      </w:pPr>
      <w:r w:rsidRPr="503DC450">
        <w:rPr>
          <w:rFonts w:ascii="Arial" w:hAnsi="Arial" w:cs="Arial"/>
          <w:sz w:val="22"/>
          <w:szCs w:val="22"/>
        </w:rPr>
        <w:t>Research-led and research informed teaching with increased opportunities for undergraduate research and capstone projects</w:t>
      </w:r>
    </w:p>
    <w:p w:rsidRPr="503DC450" w:rsidP="007D20BC">
      <w:pPr>
        <w:numPr>
          <w:ilvl w:val="1"/>
          <w:numId w:val="17"/>
        </w:numPr>
        <w:ind w:left="1440" w:right="0" w:hanging="360"/>
        <w:jc w:val="both"/>
        <w:rPr>
          <w:rFonts w:ascii="Arial" w:hAnsi="Arial" w:cs="Arial"/>
          <w:sz w:val="22"/>
          <w:szCs w:val="22"/>
        </w:rPr>
      </w:pPr>
      <w:r w:rsidRPr="503DC450">
        <w:rPr>
          <w:rFonts w:ascii="Arial" w:hAnsi="Arial" w:cs="Arial"/>
          <w:sz w:val="22"/>
          <w:szCs w:val="22"/>
        </w:rPr>
        <w:t>The Curriculum content is heavily research-led and research informed.</w:t>
      </w:r>
    </w:p>
    <w:p w:rsidRPr="503DC450" w:rsidP="007D20BC">
      <w:pPr>
        <w:numPr>
          <w:ilvl w:val="1"/>
          <w:numId w:val="17"/>
        </w:numPr>
        <w:ind w:left="1440" w:right="0" w:hanging="360"/>
        <w:jc w:val="both"/>
        <w:rPr>
          <w:rFonts w:ascii="Arial" w:hAnsi="Arial" w:cs="Arial"/>
          <w:sz w:val="22"/>
          <w:szCs w:val="22"/>
        </w:rPr>
      </w:pPr>
      <w:r w:rsidRPr="503DC450">
        <w:rPr>
          <w:rFonts w:ascii="Arial" w:hAnsi="Arial" w:cs="Arial"/>
          <w:sz w:val="22"/>
          <w:szCs w:val="22"/>
        </w:rPr>
        <w:t>Modu</w:t>
      </w:r>
      <w:r w:rsidRPr="503DC450">
        <w:rPr>
          <w:rFonts w:ascii="Arial" w:hAnsi="Arial" w:cs="Arial"/>
          <w:sz w:val="22"/>
          <w:szCs w:val="22"/>
        </w:rPr>
        <w:t>les incorporate</w:t>
      </w:r>
      <w:r w:rsidRPr="503DC450">
        <w:rPr>
          <w:rFonts w:ascii="Arial" w:hAnsi="Arial" w:cs="Arial"/>
          <w:sz w:val="22"/>
          <w:szCs w:val="22"/>
        </w:rPr>
        <w:t xml:space="preserve"> </w:t>
      </w:r>
      <w:r w:rsidRPr="503DC450">
        <w:rPr>
          <w:rFonts w:ascii="Arial" w:hAnsi="Arial" w:cs="Arial"/>
          <w:sz w:val="22"/>
          <w:szCs w:val="22"/>
        </w:rPr>
        <w:t>opportuniti</w:t>
      </w:r>
      <w:r w:rsidRPr="503DC450">
        <w:rPr>
          <w:rFonts w:ascii="Arial" w:hAnsi="Arial" w:cs="Arial"/>
          <w:sz w:val="22"/>
          <w:szCs w:val="22"/>
        </w:rPr>
        <w:t>es to explore current developments in the field.</w:t>
      </w:r>
    </w:p>
    <w:p w:rsidRPr="503DC450" w:rsidP="007D20BC">
      <w:pPr>
        <w:numPr>
          <w:ilvl w:val="1"/>
          <w:numId w:val="17"/>
        </w:numPr>
        <w:ind w:left="1440" w:right="0" w:hanging="360"/>
        <w:jc w:val="both"/>
        <w:rPr>
          <w:rFonts w:ascii="Arial" w:hAnsi="Arial" w:cs="Arial"/>
          <w:sz w:val="22"/>
          <w:szCs w:val="22"/>
        </w:rPr>
      </w:pPr>
      <w:r w:rsidRPr="503DC450">
        <w:rPr>
          <w:rFonts w:ascii="Arial" w:hAnsi="Arial" w:cs="Arial"/>
          <w:sz w:val="22"/>
          <w:szCs w:val="22"/>
        </w:rPr>
        <w:t>Teaching teams draw on the academic strengths and research interests of staff.</w:t>
      </w:r>
    </w:p>
    <w:p w:rsidRPr="503DC450" w:rsidP="007D20BC">
      <w:pPr>
        <w:numPr>
          <w:ilvl w:val="1"/>
          <w:numId w:val="17"/>
        </w:numPr>
        <w:ind w:left="1440" w:right="0" w:hanging="360"/>
        <w:jc w:val="both"/>
        <w:rPr>
          <w:rFonts w:ascii="Arial" w:hAnsi="Arial" w:cs="Arial"/>
          <w:sz w:val="22"/>
          <w:szCs w:val="22"/>
        </w:rPr>
      </w:pPr>
      <w:r w:rsidRPr="503DC450">
        <w:rPr>
          <w:rFonts w:ascii="Arial" w:hAnsi="Arial" w:cs="Arial"/>
          <w:sz w:val="22"/>
          <w:szCs w:val="22"/>
        </w:rPr>
        <w:t xml:space="preserve">Students complete their MSc by conducting a research project. </w:t>
      </w:r>
    </w:p>
    <w:p w:rsidRPr="503DC450" w:rsidP="007D20BC">
      <w:pPr>
        <w:numPr>
          <w:ilvl w:val="0"/>
          <w:numId w:val="17"/>
        </w:numPr>
        <w:ind w:left="720" w:right="0" w:hanging="360"/>
        <w:jc w:val="both"/>
        <w:rPr>
          <w:rFonts w:ascii="Arial" w:hAnsi="Arial" w:cs="Arial"/>
          <w:sz w:val="22"/>
          <w:szCs w:val="22"/>
        </w:rPr>
      </w:pPr>
      <w:r w:rsidRPr="503DC450">
        <w:rPr>
          <w:rFonts w:ascii="Arial" w:hAnsi="Arial" w:cs="Arial"/>
          <w:sz w:val="22"/>
          <w:szCs w:val="22"/>
        </w:rPr>
        <w:t>A robust, academically-led personal tu</w:t>
      </w:r>
      <w:r w:rsidRPr="503DC450">
        <w:rPr>
          <w:rFonts w:ascii="Arial" w:hAnsi="Arial" w:cs="Arial"/>
          <w:sz w:val="22"/>
          <w:szCs w:val="22"/>
        </w:rPr>
        <w:t>tor system whic</w:t>
      </w:r>
      <w:r w:rsidRPr="503DC450">
        <w:rPr>
          <w:rFonts w:ascii="Arial" w:hAnsi="Arial" w:cs="Arial"/>
          <w:sz w:val="22"/>
          <w:szCs w:val="22"/>
        </w:rPr>
        <w:t>h</w:t>
      </w:r>
      <w:r w:rsidRPr="503DC450">
        <w:rPr>
          <w:rFonts w:ascii="Arial" w:hAnsi="Arial" w:cs="Arial"/>
          <w:sz w:val="22"/>
          <w:szCs w:val="22"/>
        </w:rPr>
        <w:t xml:space="preserve"> helps to p</w:t>
      </w:r>
      <w:r w:rsidRPr="503DC450">
        <w:rPr>
          <w:rFonts w:ascii="Arial" w:hAnsi="Arial" w:cs="Arial"/>
          <w:sz w:val="22"/>
          <w:szCs w:val="22"/>
        </w:rPr>
        <w:t xml:space="preserve">ersonalize students’ experience and track their academic development </w:t>
      </w:r>
    </w:p>
    <w:p w:rsidRPr="503DC450" w:rsidP="007D20BC">
      <w:pPr>
        <w:numPr>
          <w:ilvl w:val="1"/>
          <w:numId w:val="17"/>
        </w:numPr>
        <w:ind w:left="1440" w:right="0" w:hanging="360"/>
        <w:jc w:val="both"/>
        <w:rPr>
          <w:rFonts w:ascii="Arial" w:hAnsi="Arial" w:cs="Arial"/>
          <w:sz w:val="22"/>
          <w:szCs w:val="22"/>
        </w:rPr>
      </w:pPr>
      <w:r w:rsidRPr="503DC450">
        <w:rPr>
          <w:rFonts w:ascii="Arial" w:hAnsi="Arial" w:cs="Arial"/>
          <w:sz w:val="22"/>
          <w:szCs w:val="22"/>
        </w:rPr>
        <w:t>Each student is assigned a personal tutor.</w:t>
      </w:r>
    </w:p>
    <w:p w:rsidRPr="503DC450" w:rsidP="007D20BC">
      <w:pPr>
        <w:numPr>
          <w:ilvl w:val="1"/>
          <w:numId w:val="17"/>
        </w:numPr>
        <w:ind w:left="1440" w:right="0" w:hanging="360"/>
        <w:jc w:val="both"/>
        <w:rPr>
          <w:rFonts w:ascii="Arial" w:hAnsi="Arial" w:cs="Arial"/>
          <w:sz w:val="22"/>
          <w:szCs w:val="22"/>
        </w:rPr>
      </w:pPr>
      <w:r w:rsidRPr="503DC450">
        <w:rPr>
          <w:rFonts w:ascii="Arial" w:hAnsi="Arial" w:cs="Arial"/>
          <w:sz w:val="22"/>
          <w:szCs w:val="22"/>
        </w:rPr>
        <w:t>Module content includes the opportunity for students to personalize the content of their assignments and topics bein</w:t>
      </w:r>
      <w:r w:rsidRPr="503DC450">
        <w:rPr>
          <w:rFonts w:ascii="Arial" w:hAnsi="Arial" w:cs="Arial"/>
          <w:sz w:val="22"/>
          <w:szCs w:val="22"/>
        </w:rPr>
        <w:t>g explored.</w:t>
      </w:r>
    </w:p>
    <w:p w:rsidRPr="503DC450" w:rsidP="007D20BC">
      <w:pPr>
        <w:numPr>
          <w:ilvl w:val="0"/>
          <w:numId w:val="17"/>
        </w:numPr>
        <w:ind w:left="720" w:right="0" w:hanging="360"/>
        <w:jc w:val="both"/>
        <w:rPr>
          <w:rFonts w:ascii="Arial" w:hAnsi="Arial" w:cs="Arial"/>
          <w:sz w:val="22"/>
          <w:szCs w:val="22"/>
        </w:rPr>
      </w:pPr>
      <w:r w:rsidRPr="503DC450">
        <w:rPr>
          <w:rFonts w:ascii="Arial" w:hAnsi="Arial" w:cs="Arial"/>
          <w:sz w:val="22"/>
          <w:szCs w:val="22"/>
        </w:rPr>
        <w:t xml:space="preserve">An </w:t>
      </w:r>
      <w:r w:rsidRPr="503DC450">
        <w:rPr>
          <w:rFonts w:ascii="Arial" w:hAnsi="Arial" w:cs="Arial"/>
          <w:sz w:val="22"/>
          <w:szCs w:val="22"/>
        </w:rPr>
        <w:t>e</w:t>
      </w:r>
      <w:r w:rsidRPr="503DC450">
        <w:rPr>
          <w:rFonts w:ascii="Arial" w:hAnsi="Arial" w:cs="Arial"/>
          <w:sz w:val="22"/>
          <w:szCs w:val="22"/>
        </w:rPr>
        <w:t>mbedded emp</w:t>
      </w:r>
      <w:r w:rsidRPr="503DC450">
        <w:rPr>
          <w:rFonts w:ascii="Arial" w:hAnsi="Arial" w:cs="Arial"/>
          <w:sz w:val="22"/>
          <w:szCs w:val="22"/>
        </w:rPr>
        <w:t>loyability curriculum at discipline level featuring credited placement/internship opportunities for all students and explicit links to the co-curriculum;</w:t>
      </w:r>
    </w:p>
    <w:p w:rsidRPr="503DC450" w:rsidP="007D20BC">
      <w:pPr>
        <w:numPr>
          <w:ilvl w:val="1"/>
          <w:numId w:val="17"/>
        </w:numPr>
        <w:ind w:left="1440" w:right="0" w:hanging="360"/>
        <w:jc w:val="both"/>
        <w:rPr>
          <w:rFonts w:ascii="Arial" w:hAnsi="Arial" w:cs="Arial"/>
          <w:sz w:val="22"/>
          <w:szCs w:val="22"/>
        </w:rPr>
      </w:pPr>
      <w:r w:rsidRPr="503DC450">
        <w:rPr>
          <w:rFonts w:ascii="Arial" w:hAnsi="Arial" w:cs="Arial"/>
          <w:sz w:val="22"/>
          <w:szCs w:val="22"/>
        </w:rPr>
        <w:t>Employability skills are embedded into several modules, including ‘applying</w:t>
      </w:r>
      <w:r w:rsidRPr="503DC450">
        <w:rPr>
          <w:rFonts w:ascii="Arial" w:hAnsi="Arial" w:cs="Arial"/>
          <w:sz w:val="22"/>
          <w:szCs w:val="22"/>
        </w:rPr>
        <w:t xml:space="preserve"> for funding’ (</w:t>
      </w:r>
      <w:r w:rsidRPr="503DC450">
        <w:rPr>
          <w:rFonts w:ascii="Arial" w:hAnsi="Arial" w:cs="Arial"/>
          <w:sz w:val="22"/>
          <w:szCs w:val="22"/>
        </w:rPr>
        <w:t>L</w:t>
      </w:r>
      <w:r w:rsidRPr="503DC450">
        <w:rPr>
          <w:rFonts w:ascii="Arial" w:hAnsi="Arial" w:cs="Arial"/>
          <w:sz w:val="22"/>
          <w:szCs w:val="22"/>
        </w:rPr>
        <w:t>S7001), and</w:t>
      </w:r>
      <w:r w:rsidRPr="503DC450">
        <w:rPr>
          <w:rFonts w:ascii="Arial" w:hAnsi="Arial" w:cs="Arial"/>
          <w:sz w:val="22"/>
          <w:szCs w:val="22"/>
        </w:rPr>
        <w:t xml:space="preserve"> ‘industry specific recruitment information’ (e.g. from external expert practitioner lecturers)</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 </w:t>
      </w:r>
      <w:r w:rsidRPr="503DC450">
        <w:rPr>
          <w:rFonts w:ascii="Arial" w:hAnsi="Arial" w:cs="Arial"/>
          <w:sz w:val="22"/>
          <w:szCs w:val="22"/>
        </w:rPr>
        <w:t>Communication skills (‘presenting your published work) are emphasized in all modules in a variety of media, including written and o</w:t>
      </w:r>
      <w:r w:rsidRPr="503DC450">
        <w:rPr>
          <w:rFonts w:ascii="Arial" w:hAnsi="Arial" w:cs="Arial"/>
          <w:sz w:val="22"/>
          <w:szCs w:val="22"/>
        </w:rPr>
        <w:t>ral presentatio</w:t>
      </w:r>
      <w:r w:rsidRPr="503DC450">
        <w:rPr>
          <w:rFonts w:ascii="Arial" w:hAnsi="Arial" w:cs="Arial"/>
          <w:sz w:val="22"/>
          <w:szCs w:val="22"/>
        </w:rPr>
        <w:t>n</w:t>
      </w:r>
      <w:r w:rsidRPr="503DC450">
        <w:rPr>
          <w:rFonts w:ascii="Arial" w:hAnsi="Arial" w:cs="Arial"/>
          <w:sz w:val="22"/>
          <w:szCs w:val="22"/>
        </w:rPr>
        <w:t>.</w:t>
      </w:r>
    </w:p>
    <w:p w:rsidRPr="503DC450" w:rsidP="007D20BC">
      <w:pPr>
        <w:numPr>
          <w:ilvl w:val="1"/>
          <w:numId w:val="17"/>
        </w:numPr>
        <w:ind w:left="1440" w:right="0" w:hanging="360"/>
        <w:jc w:val="both"/>
        <w:rPr>
          <w:rFonts w:ascii="Arial" w:hAnsi="Arial" w:cs="Arial"/>
          <w:sz w:val="22"/>
          <w:szCs w:val="22"/>
        </w:rPr>
      </w:pPr>
      <w:r w:rsidRPr="503DC450">
        <w:rPr>
          <w:rFonts w:ascii="Arial" w:hAnsi="Arial" w:cs="Arial"/>
          <w:sz w:val="22"/>
          <w:szCs w:val="22"/>
        </w:rPr>
        <w:t>Key labor</w:t>
      </w:r>
      <w:r w:rsidRPr="503DC450">
        <w:rPr>
          <w:rFonts w:ascii="Arial" w:hAnsi="Arial" w:cs="Arial"/>
          <w:sz w:val="22"/>
          <w:szCs w:val="22"/>
        </w:rPr>
        <w:t>atory-based skills are included in the taught modules and in the independent research projects, for which students may have an opportunity to take up a placement outside Kingston University.</w:t>
      </w:r>
    </w:p>
    <w:p w:rsidRPr="503DC450" w:rsidP="007D20BC">
      <w:pPr>
        <w:numPr>
          <w:ilvl w:val="1"/>
          <w:numId w:val="17"/>
        </w:numPr>
        <w:ind w:left="1440" w:right="0" w:hanging="360"/>
        <w:jc w:val="both"/>
        <w:rPr>
          <w:rFonts w:ascii="Arial" w:hAnsi="Arial" w:cs="Arial"/>
          <w:sz w:val="22"/>
          <w:szCs w:val="22"/>
        </w:rPr>
      </w:pPr>
      <w:r w:rsidRPr="503DC450">
        <w:rPr>
          <w:rFonts w:ascii="Arial" w:hAnsi="Arial" w:cs="Arial"/>
          <w:sz w:val="22"/>
          <w:szCs w:val="22"/>
        </w:rPr>
        <w:t xml:space="preserve">Specialist visiting </w:t>
      </w:r>
      <w:r w:rsidRPr="503DC450">
        <w:rPr>
          <w:rFonts w:ascii="Arial" w:hAnsi="Arial" w:cs="Arial"/>
          <w:sz w:val="22"/>
          <w:szCs w:val="22"/>
        </w:rPr>
        <w:t>lecturers from I</w:t>
      </w:r>
      <w:r w:rsidRPr="503DC450">
        <w:rPr>
          <w:rFonts w:ascii="Arial" w:hAnsi="Arial" w:cs="Arial"/>
          <w:sz w:val="22"/>
          <w:szCs w:val="22"/>
        </w:rPr>
        <w:t>ndustry, the He</w:t>
      </w:r>
      <w:r w:rsidRPr="503DC450">
        <w:rPr>
          <w:rFonts w:ascii="Arial" w:hAnsi="Arial" w:cs="Arial"/>
          <w:sz w:val="22"/>
          <w:szCs w:val="22"/>
        </w:rPr>
        <w:t>a</w:t>
      </w:r>
      <w:r w:rsidRPr="503DC450">
        <w:rPr>
          <w:rFonts w:ascii="Arial" w:hAnsi="Arial" w:cs="Arial"/>
          <w:sz w:val="22"/>
          <w:szCs w:val="22"/>
        </w:rPr>
        <w:t>lth Service</w:t>
      </w:r>
      <w:r w:rsidRPr="503DC450">
        <w:rPr>
          <w:rFonts w:ascii="Arial" w:hAnsi="Arial" w:cs="Arial"/>
          <w:sz w:val="22"/>
          <w:szCs w:val="22"/>
        </w:rPr>
        <w:t xml:space="preserve"> and </w:t>
      </w:r>
      <w:r w:rsidRPr="503DC450">
        <w:rPr>
          <w:rFonts w:ascii="Arial" w:hAnsi="Arial" w:cs="Arial"/>
          <w:sz w:val="22"/>
          <w:szCs w:val="22"/>
        </w:rPr>
        <w:t xml:space="preserve">research organisations and also visits to these organisations provide great insight into employability skills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jc w:val="both"/>
        <w:rPr>
          <w:rFonts w:ascii="Arial" w:hAnsi="Arial" w:cs="Arial"/>
          <w:sz w:val="22"/>
          <w:szCs w:val="22"/>
        </w:rPr>
      </w:pPr>
      <w:r w:rsidRPr="503DC450">
        <w:rPr>
          <w:rFonts w:ascii="Arial" w:hAnsi="Arial" w:cs="Arial"/>
          <w:sz w:val="22"/>
          <w:szCs w:val="22"/>
        </w:rPr>
        <w:t>In order to assist students in achieving their learning outcomes, the F</w:t>
      </w:r>
      <w:r w:rsidRPr="503DC450">
        <w:rPr>
          <w:rFonts w:ascii="Arial" w:hAnsi="Arial" w:cs="Arial"/>
          <w:sz w:val="22"/>
          <w:szCs w:val="22"/>
        </w:rPr>
        <w:t>aculty of Scien</w:t>
      </w:r>
      <w:r w:rsidRPr="503DC450">
        <w:rPr>
          <w:rFonts w:ascii="Arial" w:hAnsi="Arial" w:cs="Arial"/>
          <w:sz w:val="22"/>
          <w:szCs w:val="22"/>
        </w:rPr>
        <w:t>c</w:t>
      </w:r>
      <w:r w:rsidRPr="503DC450">
        <w:rPr>
          <w:rFonts w:ascii="Arial" w:hAnsi="Arial" w:cs="Arial"/>
          <w:sz w:val="22"/>
          <w:szCs w:val="22"/>
        </w:rPr>
        <w:t>e, Engineer</w:t>
      </w:r>
      <w:r w:rsidRPr="503DC450">
        <w:rPr>
          <w:rFonts w:ascii="Arial" w:hAnsi="Arial" w:cs="Arial"/>
          <w:sz w:val="22"/>
          <w:szCs w:val="22"/>
        </w:rPr>
        <w:t>ing, and Computing has a raft of initiatives to support postgraduate students in both academic and pastoral issues. These are summarised below, and include skills workshops that offer English language support, academic surgeries,</w:t>
      </w:r>
      <w:r w:rsidRPr="503DC450">
        <w:rPr>
          <w:rFonts w:ascii="Arial" w:hAnsi="Arial" w:cs="Arial"/>
          <w:sz w:val="22"/>
          <w:szCs w:val="22"/>
        </w:rPr>
        <w:t xml:space="preserve"> detailed induc</w:t>
      </w:r>
      <w:r w:rsidRPr="503DC450">
        <w:rPr>
          <w:rFonts w:ascii="Arial" w:hAnsi="Arial" w:cs="Arial"/>
          <w:sz w:val="22"/>
          <w:szCs w:val="22"/>
        </w:rPr>
        <w:t>t</w:t>
      </w:r>
      <w:r w:rsidRPr="503DC450">
        <w:rPr>
          <w:rFonts w:ascii="Arial" w:hAnsi="Arial" w:cs="Arial"/>
          <w:sz w:val="22"/>
          <w:szCs w:val="22"/>
        </w:rPr>
        <w:t>ion and ori</w:t>
      </w:r>
      <w:r w:rsidRPr="503DC450">
        <w:rPr>
          <w:rFonts w:ascii="Arial" w:hAnsi="Arial" w:cs="Arial"/>
          <w:sz w:val="22"/>
          <w:szCs w:val="22"/>
        </w:rPr>
        <w:t>entation programmes at the start of the academic year, and subject-based conference style events.</w:t>
      </w:r>
      <w:r w:rsidRPr="503DC450">
        <w:rPr>
          <w:rFonts w:ascii="Arial" w:hAnsi="Arial" w:cs="Arial"/>
          <w:sz w:val="22"/>
          <w:szCs w:val="22"/>
        </w:rPr>
        <w:t xml:space="preserve">  </w:t>
      </w:r>
      <w:r w:rsidRPr="503DC450">
        <w:rPr>
          <w:rFonts w:ascii="Arial" w:hAnsi="Arial" w:cs="Arial"/>
          <w:sz w:val="22"/>
          <w:szCs w:val="22"/>
        </w:rPr>
        <w:t>Advice on generic study skills is available on the electronic learning management system (Canvas) to which all students have acces</w:t>
      </w:r>
      <w:r w:rsidRPr="503DC450">
        <w:rPr>
          <w:rFonts w:ascii="Arial" w:hAnsi="Arial" w:cs="Arial"/>
          <w:sz w:val="22"/>
          <w:szCs w:val="22"/>
        </w:rPr>
        <w:t>s; this include</w:t>
      </w:r>
      <w:r w:rsidRPr="503DC450">
        <w:rPr>
          <w:rFonts w:ascii="Arial" w:hAnsi="Arial" w:cs="Arial"/>
          <w:sz w:val="22"/>
          <w:szCs w:val="22"/>
        </w:rPr>
        <w:t>s</w:t>
      </w:r>
      <w:r w:rsidRPr="503DC450">
        <w:rPr>
          <w:rFonts w:ascii="Arial" w:hAnsi="Arial" w:cs="Arial"/>
          <w:sz w:val="22"/>
          <w:szCs w:val="22"/>
        </w:rPr>
        <w:t xml:space="preserve"> advice on </w:t>
      </w:r>
      <w:r w:rsidRPr="503DC450">
        <w:rPr>
          <w:rFonts w:ascii="Arial" w:hAnsi="Arial" w:cs="Arial"/>
          <w:sz w:val="22"/>
          <w:szCs w:val="22"/>
        </w:rPr>
        <w:t xml:space="preserve">writing, oral communication, numeracy, problem-solving and career management, among others. </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Students also have access to SEC Study Skills (S</w:t>
      </w:r>
      <w:r w:rsidRPr="503DC450">
        <w:rPr>
          <w:rFonts w:ascii="Arial" w:hAnsi="Arial" w:cs="Arial"/>
          <w:sz w:val="15"/>
          <w:szCs w:val="15"/>
        </w:rPr>
        <w:t>3</w:t>
      </w:r>
      <w:r w:rsidRPr="503DC450">
        <w:rPr>
          <w:rFonts w:ascii="Arial" w:hAnsi="Arial" w:cs="Arial"/>
          <w:sz w:val="22"/>
          <w:szCs w:val="22"/>
        </w:rPr>
        <w:t>), which provides a ‘drop in’ service giving advice on all non-subject based aspects o</w:t>
      </w:r>
      <w:r w:rsidRPr="503DC450">
        <w:rPr>
          <w:rFonts w:ascii="Arial" w:hAnsi="Arial" w:cs="Arial"/>
          <w:sz w:val="22"/>
          <w:szCs w:val="22"/>
        </w:rPr>
        <w:t>f academic work</w:t>
      </w:r>
      <w:r w:rsidRPr="503DC450">
        <w:rPr>
          <w:rFonts w:ascii="Arial" w:hAnsi="Arial" w:cs="Arial"/>
          <w:sz w:val="22"/>
          <w:szCs w:val="22"/>
        </w:rPr>
        <w:t xml:space="preserve"> </w:t>
      </w:r>
      <w:r w:rsidRPr="503DC450">
        <w:rPr>
          <w:rFonts w:ascii="Arial" w:hAnsi="Arial" w:cs="Arial"/>
          <w:sz w:val="22"/>
          <w:szCs w:val="22"/>
        </w:rPr>
        <w:t>including;</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grammar and punctuation,</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academic structure</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referencing and plagiarism</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maths skills</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 xml:space="preserve">Students are encouraged to discuss academic and pastoral concerns with their Course Director/personal tutor, and all academic staff </w:t>
      </w:r>
      <w:r w:rsidRPr="503DC450">
        <w:rPr>
          <w:rFonts w:ascii="Arial" w:hAnsi="Arial" w:cs="Arial"/>
          <w:sz w:val="22"/>
          <w:szCs w:val="22"/>
        </w:rPr>
        <w:t>operates</w:t>
      </w:r>
      <w:r w:rsidRPr="503DC450">
        <w:rPr>
          <w:rFonts w:ascii="Arial" w:hAnsi="Arial" w:cs="Arial"/>
          <w:sz w:val="22"/>
          <w:szCs w:val="22"/>
        </w:rPr>
        <w:t xml:space="preserve"> a s</w:t>
      </w:r>
      <w:r w:rsidRPr="503DC450">
        <w:rPr>
          <w:rFonts w:ascii="Arial" w:hAnsi="Arial" w:cs="Arial"/>
          <w:sz w:val="22"/>
          <w:szCs w:val="22"/>
        </w:rPr>
        <w:t>ystem of Office</w:t>
      </w:r>
      <w:r w:rsidRPr="503DC450">
        <w:rPr>
          <w:rFonts w:ascii="Arial" w:hAnsi="Arial" w:cs="Arial"/>
          <w:sz w:val="22"/>
          <w:szCs w:val="22"/>
        </w:rPr>
        <w:t xml:space="preserve"> </w:t>
      </w:r>
      <w:r w:rsidRPr="503DC450">
        <w:rPr>
          <w:rFonts w:ascii="Arial" w:hAnsi="Arial" w:cs="Arial"/>
          <w:sz w:val="22"/>
          <w:szCs w:val="22"/>
        </w:rPr>
        <w:t>Hours durin</w:t>
      </w:r>
      <w:r w:rsidRPr="503DC450">
        <w:rPr>
          <w:rFonts w:ascii="Arial" w:hAnsi="Arial" w:cs="Arial"/>
          <w:sz w:val="22"/>
          <w:szCs w:val="22"/>
        </w:rPr>
        <w:t>g which students can consult their lecturers.</w:t>
      </w:r>
      <w:r w:rsidRPr="503DC450">
        <w:rPr>
          <w:rFonts w:ascii="Arial" w:hAnsi="Arial" w:cs="Arial"/>
          <w:sz w:val="22"/>
          <w:szCs w:val="22"/>
        </w:rPr>
        <w:t xml:space="preserve">  </w:t>
      </w:r>
      <w:r w:rsidRPr="503DC450">
        <w:rPr>
          <w:rFonts w:ascii="Arial" w:hAnsi="Arial" w:cs="Arial"/>
          <w:sz w:val="22"/>
          <w:szCs w:val="22"/>
        </w:rPr>
        <w:t>In addition the Faculty employs Student Support Officers who are available in both drop-in and appointment sessions to support students in all aspects of their education, including p</w:t>
      </w:r>
      <w:r w:rsidRPr="503DC450">
        <w:rPr>
          <w:rFonts w:ascii="Arial" w:hAnsi="Arial" w:cs="Arial"/>
          <w:sz w:val="22"/>
          <w:szCs w:val="22"/>
        </w:rPr>
        <w:t>astoral issues.</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The Person</w:t>
      </w:r>
      <w:r w:rsidRPr="503DC450">
        <w:rPr>
          <w:rFonts w:ascii="Arial" w:hAnsi="Arial" w:cs="Arial"/>
          <w:sz w:val="22"/>
          <w:szCs w:val="22"/>
        </w:rPr>
        <w:t>al Tutor Scheme (PTS) has been designed to ease a student’s transition into postgraduate study by building a rapport between themselves and academic staff as soon as possible, so personalising their experience at Kingston.</w:t>
      </w:r>
      <w:r w:rsidRPr="503DC450">
        <w:rPr>
          <w:rFonts w:ascii="Arial" w:hAnsi="Arial" w:cs="Arial"/>
          <w:sz w:val="22"/>
          <w:szCs w:val="22"/>
        </w:rPr>
        <w:t xml:space="preserve">  </w:t>
      </w:r>
      <w:r w:rsidRPr="503DC450">
        <w:rPr>
          <w:rFonts w:ascii="Arial" w:hAnsi="Arial" w:cs="Arial"/>
          <w:sz w:val="22"/>
          <w:szCs w:val="22"/>
        </w:rPr>
        <w:t>Stude</w:t>
      </w:r>
      <w:r w:rsidRPr="503DC450">
        <w:rPr>
          <w:rFonts w:ascii="Arial" w:hAnsi="Arial" w:cs="Arial"/>
          <w:sz w:val="22"/>
          <w:szCs w:val="22"/>
        </w:rPr>
        <w:t xml:space="preserve">nts are placed </w:t>
      </w:r>
      <w:r w:rsidRPr="503DC450">
        <w:rPr>
          <w:rFonts w:ascii="Arial" w:hAnsi="Arial" w:cs="Arial"/>
          <w:sz w:val="22"/>
          <w:szCs w:val="22"/>
        </w:rPr>
        <w:t>i</w:t>
      </w:r>
      <w:r w:rsidRPr="503DC450">
        <w:rPr>
          <w:rFonts w:ascii="Arial" w:hAnsi="Arial" w:cs="Arial"/>
          <w:sz w:val="22"/>
          <w:szCs w:val="22"/>
        </w:rPr>
        <w:t>n small tut</w:t>
      </w:r>
      <w:r w:rsidRPr="503DC450">
        <w:rPr>
          <w:rFonts w:ascii="Arial" w:hAnsi="Arial" w:cs="Arial"/>
          <w:sz w:val="22"/>
          <w:szCs w:val="22"/>
        </w:rPr>
        <w:t>orial groups (3-4 students), and are encouraged to work together to provide mutual support. Where possible these groups will include a mix of Kingston alumni, UK and overseas students, and they will meet with their Course Directo</w:t>
      </w:r>
      <w:r w:rsidRPr="503DC450">
        <w:rPr>
          <w:rFonts w:ascii="Arial" w:hAnsi="Arial" w:cs="Arial"/>
          <w:sz w:val="22"/>
          <w:szCs w:val="22"/>
        </w:rPr>
        <w:t>r/personal tuto</w:t>
      </w:r>
      <w:r w:rsidRPr="503DC450">
        <w:rPr>
          <w:rFonts w:ascii="Arial" w:hAnsi="Arial" w:cs="Arial"/>
          <w:sz w:val="22"/>
          <w:szCs w:val="22"/>
        </w:rPr>
        <w:t>r</w:t>
      </w:r>
      <w:r w:rsidRPr="503DC450">
        <w:rPr>
          <w:rFonts w:ascii="Arial" w:hAnsi="Arial" w:cs="Arial"/>
          <w:sz w:val="22"/>
          <w:szCs w:val="22"/>
        </w:rPr>
        <w:t xml:space="preserve"> two to thr</w:t>
      </w:r>
      <w:r w:rsidRPr="503DC450">
        <w:rPr>
          <w:rFonts w:ascii="Arial" w:hAnsi="Arial" w:cs="Arial"/>
          <w:sz w:val="22"/>
          <w:szCs w:val="22"/>
        </w:rPr>
        <w:t>ee times in each teaching block.</w:t>
      </w:r>
    </w:p>
    <w:p w:rsidRPr="503DC450" w:rsidP="00B40E99">
      <w:pPr>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The PTS aims;</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To provide appropriate academic advice</w:t>
      </w:r>
      <w:r w:rsidRPr="503DC450">
        <w:rPr>
          <w:rFonts w:ascii="Arial" w:hAnsi="Arial" w:cs="Arial"/>
          <w:sz w:val="22"/>
          <w:szCs w:val="22"/>
        </w:rPr>
        <w:t xml:space="preserve">  </w:t>
      </w:r>
      <w:r w:rsidRPr="503DC450">
        <w:rPr>
          <w:rFonts w:ascii="Arial" w:hAnsi="Arial" w:cs="Arial"/>
          <w:sz w:val="22"/>
          <w:szCs w:val="22"/>
        </w:rPr>
        <w:t>and guidance to students throughout their time at Kingston by monitoring their progress and helping to identify individual needs</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 xml:space="preserve">To foster a </w:t>
      </w:r>
      <w:r w:rsidRPr="503DC450">
        <w:rPr>
          <w:rFonts w:ascii="Arial" w:hAnsi="Arial" w:cs="Arial"/>
          <w:sz w:val="22"/>
          <w:szCs w:val="22"/>
        </w:rPr>
        <w:t>close and engag</w:t>
      </w:r>
      <w:r w:rsidRPr="503DC450">
        <w:rPr>
          <w:rFonts w:ascii="Arial" w:hAnsi="Arial" w:cs="Arial"/>
          <w:sz w:val="22"/>
          <w:szCs w:val="22"/>
        </w:rPr>
        <w:t>e</w:t>
      </w:r>
      <w:r w:rsidRPr="503DC450">
        <w:rPr>
          <w:rFonts w:ascii="Arial" w:hAnsi="Arial" w:cs="Arial"/>
          <w:sz w:val="22"/>
          <w:szCs w:val="22"/>
        </w:rPr>
        <w:t xml:space="preserve">d academic </w:t>
      </w:r>
      <w:r w:rsidRPr="503DC450">
        <w:rPr>
          <w:rFonts w:ascii="Arial" w:hAnsi="Arial" w:cs="Arial"/>
          <w:sz w:val="22"/>
          <w:szCs w:val="22"/>
        </w:rPr>
        <w:t>relationship with students and advise and refer students to other University services as appropriate</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To help to develop students’ ability to be self-reliant and self-reflective and their ability to use feedback to best advantage</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To provide a li</w:t>
      </w:r>
      <w:r w:rsidRPr="503DC450">
        <w:rPr>
          <w:rFonts w:ascii="Arial" w:hAnsi="Arial" w:cs="Arial"/>
          <w:sz w:val="22"/>
          <w:szCs w:val="22"/>
        </w:rPr>
        <w:t>n</w:t>
      </w:r>
      <w:r w:rsidRPr="503DC450">
        <w:rPr>
          <w:rFonts w:ascii="Arial" w:hAnsi="Arial" w:cs="Arial"/>
          <w:sz w:val="22"/>
          <w:szCs w:val="22"/>
        </w:rPr>
        <w:t>k between c</w:t>
      </w:r>
      <w:r w:rsidRPr="503DC450">
        <w:rPr>
          <w:rFonts w:ascii="Arial" w:hAnsi="Arial" w:cs="Arial"/>
          <w:sz w:val="22"/>
          <w:szCs w:val="22"/>
        </w:rPr>
        <w:t>urricular and co-curricular aspects of employability</w:t>
      </w:r>
      <w:r w:rsidRPr="503DC450">
        <w:rPr>
          <w:rFonts w:ascii="Arial" w:hAnsi="Arial" w:cs="Arial"/>
          <w:sz w:val="22"/>
          <w:szCs w:val="22"/>
        </w:rPr>
        <w:t> </w:t>
      </w:r>
    </w:p>
    <w:tbl>
      <w:tblPr>
        <w:tblCellSpacing w:w="15" w:type="dxa"/>
        <w:tblCellMar>
          <w:top w:w="15" w:type="dxa"/>
          <w:left w:w="15" w:type="dxa"/>
          <w:bottom w:w="15" w:type="dxa"/>
          <w:right w:w="15" w:type="dxa"/>
        </w:tblCellMar>
      </w:tblPr>
      <w:tblGrid>
        <w:gridCol w:w="8996"/>
      </w:tblGrid>
      <w:tr>
        <w:tc>
          <w:tcPr>
            <w:noWrap w:val="0"/>
            <w:tcMar>
              <w:top w:w="15" w:type="dxa"/>
              <w:left w:w="15" w:type="dxa"/>
              <w:bottom w:w="15" w:type="dxa"/>
              <w:right w:w="15" w:type="dxa"/>
            </w:tcMar>
            <w:vAlign w:val="center"/>
            <w:hideMark/>
          </w:tcPr>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pStyle w:val="Heading3"/>
              <w:jc w:val="both"/>
              <w:outlineLvl w:val="2"/>
              <w:rPr>
                <w:rFonts w:ascii="Arial" w:hAnsi="Arial" w:cs="Arial"/>
                <w:sz w:val="22"/>
                <w:szCs w:val="22"/>
              </w:rPr>
            </w:pPr>
            <w:r w:rsidRPr="503DC450">
              <w:rPr>
                <w:rFonts w:ascii="Arial" w:hAnsi="Arial" w:cs="Arial"/>
                <w:b/>
                <w:bCs/>
                <w:sz w:val="22"/>
                <w:szCs w:val="22"/>
              </w:rPr>
              <w:t>Summary of Student Support</w:t>
            </w:r>
          </w:p>
          <w:p w:rsidRPr="503DC450" w:rsidP="00B40E99">
            <w:pPr>
              <w:rPr>
                <w:rFonts w:ascii="Arial" w:hAnsi="Arial" w:cs="Arial"/>
                <w:sz w:val="22"/>
                <w:szCs w:val="22"/>
              </w:rPr>
            </w:pPr>
            <w:r w:rsidRPr="503DC450">
              <w:rPr>
                <w:rFonts w:ascii="Arial" w:hAnsi="Arial" w:cs="Arial"/>
                <w:sz w:val="22"/>
                <w:szCs w:val="22"/>
              </w:rPr>
              <w:t>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 xml:space="preserve">A Module Leader for each module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A Course Leader to help students understand the programme structure, who also acts as Personal Tutor to provid</w:t>
            </w:r>
            <w:r w:rsidRPr="503DC450">
              <w:rPr>
                <w:rFonts w:ascii="Arial" w:hAnsi="Arial" w:cs="Arial"/>
                <w:sz w:val="22"/>
                <w:szCs w:val="22"/>
              </w:rPr>
              <w:t xml:space="preserve">e academic and </w:t>
            </w:r>
            <w:r w:rsidRPr="503DC450">
              <w:rPr>
                <w:rFonts w:ascii="Arial" w:hAnsi="Arial" w:cs="Arial"/>
                <w:sz w:val="22"/>
                <w:szCs w:val="22"/>
              </w:rPr>
              <w:t>p</w:t>
            </w:r>
            <w:r w:rsidRPr="503DC450">
              <w:rPr>
                <w:rFonts w:ascii="Arial" w:hAnsi="Arial" w:cs="Arial"/>
                <w:sz w:val="22"/>
                <w:szCs w:val="22"/>
              </w:rPr>
              <w:t>ersonal sup</w:t>
            </w:r>
            <w:r w:rsidRPr="503DC450">
              <w:rPr>
                <w:rFonts w:ascii="Arial" w:hAnsi="Arial" w:cs="Arial"/>
                <w:sz w:val="22"/>
                <w:szCs w:val="22"/>
              </w:rPr>
              <w:t xml:space="preserve">port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 xml:space="preserve">Technical support to advise students on IT and the use of software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 xml:space="preserve">A designated programme administrator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 xml:space="preserve">An induction week at the beginning of each new academic session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 xml:space="preserve">Staff Student Consultative Committee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Canvas – a ver</w:t>
            </w:r>
            <w:r w:rsidRPr="503DC450">
              <w:rPr>
                <w:rFonts w:ascii="Arial" w:hAnsi="Arial" w:cs="Arial"/>
                <w:sz w:val="22"/>
                <w:szCs w:val="22"/>
              </w:rPr>
              <w:t xml:space="preserve">satile on-line </w:t>
            </w:r>
            <w:r w:rsidRPr="503DC450">
              <w:rPr>
                <w:rFonts w:ascii="Arial" w:hAnsi="Arial" w:cs="Arial"/>
                <w:sz w:val="22"/>
                <w:szCs w:val="22"/>
              </w:rPr>
              <w:t>i</w:t>
            </w:r>
            <w:r w:rsidRPr="503DC450">
              <w:rPr>
                <w:rFonts w:ascii="Arial" w:hAnsi="Arial" w:cs="Arial"/>
                <w:sz w:val="22"/>
                <w:szCs w:val="22"/>
              </w:rPr>
              <w:t xml:space="preserve">nteractive </w:t>
            </w:r>
            <w:r w:rsidRPr="503DC450">
              <w:rPr>
                <w:rFonts w:ascii="Arial" w:hAnsi="Arial" w:cs="Arial"/>
                <w:sz w:val="22"/>
                <w:szCs w:val="22"/>
              </w:rPr>
              <w:t xml:space="preserve">intranet and learning environment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 xml:space="preserve">A substantial Study Skills Centre that provides academic skills support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w:t>
            </w:r>
            <w:r w:rsidRPr="503DC450">
              <w:rPr>
                <w:rFonts w:ascii="Arial" w:hAnsi="Arial" w:cs="Arial"/>
                <w:sz w:val="22"/>
                <w:szCs w:val="22"/>
              </w:rPr>
              <w:t>rnational stude</w:t>
            </w:r>
            <w:r w:rsidRPr="503DC450">
              <w:rPr>
                <w:rFonts w:ascii="Arial" w:hAnsi="Arial" w:cs="Arial"/>
                <w:sz w:val="22"/>
                <w:szCs w:val="22"/>
              </w:rPr>
              <w:t>n</w:t>
            </w:r>
            <w:r w:rsidRPr="503DC450">
              <w:rPr>
                <w:rFonts w:ascii="Arial" w:hAnsi="Arial" w:cs="Arial"/>
                <w:sz w:val="22"/>
                <w:szCs w:val="22"/>
              </w:rPr>
              <w:t>t support e</w:t>
            </w:r>
            <w:r w:rsidRPr="503DC450">
              <w:rPr>
                <w:rFonts w:ascii="Arial" w:hAnsi="Arial" w:cs="Arial"/>
                <w:sz w:val="22"/>
                <w:szCs w:val="22"/>
              </w:rPr>
              <w:t>tc.</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 xml:space="preserve">Disabled student support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 xml:space="preserve">The Students’ Union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sz w:val="22"/>
                <w:szCs w:val="22"/>
              </w:rPr>
              <w:t>Careers and Employability Service</w:t>
            </w:r>
            <w:r w:rsidRPr="503DC450">
              <w:rPr>
                <w:rFonts w:ascii="Arial" w:hAnsi="Arial" w:cs="Arial"/>
                <w:sz w:val="22"/>
                <w:szCs w:val="22"/>
              </w:rPr>
              <w:t> </w:t>
            </w:r>
          </w:p>
        </w:tc>
      </w:tr>
    </w:tbl>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The University has several methods for evaluating and improving the quality and standards of its provisio</w:t>
      </w:r>
      <w:r w:rsidRPr="503DC450">
        <w:rPr>
          <w:rFonts w:ascii="Arial" w:hAnsi="Arial" w:cs="Arial"/>
          <w:sz w:val="22"/>
          <w:szCs w:val="22"/>
        </w:rPr>
        <w:t>n</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These in</w:t>
      </w:r>
      <w:r w:rsidRPr="503DC450">
        <w:rPr>
          <w:rFonts w:ascii="Arial" w:hAnsi="Arial" w:cs="Arial"/>
          <w:sz w:val="22"/>
          <w:szCs w:val="22"/>
        </w:rPr>
        <w:t>clude:</w:t>
      </w:r>
    </w:p>
    <w:p w:rsidRPr="503DC450" w:rsidP="00A92C9B">
      <w:pPr>
        <w:numPr>
          <w:ilvl w:val="0"/>
          <w:numId w:val="21"/>
        </w:numPr>
        <w:ind w:left="720" w:right="0" w:hanging="360"/>
        <w:jc w:val="left"/>
        <w:rPr>
          <w:rFonts w:ascii="Arial" w:hAnsi="Arial" w:cs="Arial"/>
          <w:sz w:val="22"/>
          <w:szCs w:val="22"/>
        </w:rPr>
      </w:pPr>
      <w:r w:rsidRPr="503DC450">
        <w:rPr>
          <w:rFonts w:ascii="Arial" w:hAnsi="Arial" w:cs="Arial"/>
          <w:sz w:val="22"/>
          <w:szCs w:val="22"/>
        </w:rPr>
        <w:t>External examiners</w:t>
      </w:r>
    </w:p>
    <w:p w:rsidRPr="503DC450" w:rsidP="00A92C9B">
      <w:pPr>
        <w:numPr>
          <w:ilvl w:val="0"/>
          <w:numId w:val="21"/>
        </w:numPr>
        <w:ind w:left="720" w:right="0" w:hanging="360"/>
        <w:jc w:val="left"/>
        <w:rPr>
          <w:rFonts w:ascii="Arial" w:hAnsi="Arial" w:cs="Arial"/>
          <w:sz w:val="22"/>
          <w:szCs w:val="22"/>
        </w:rPr>
      </w:pPr>
      <w:r w:rsidRPr="503DC450">
        <w:rPr>
          <w:rFonts w:ascii="Arial" w:hAnsi="Arial" w:cs="Arial"/>
          <w:sz w:val="22"/>
          <w:szCs w:val="22"/>
        </w:rPr>
        <w:t>Boards of study with student representation</w:t>
      </w:r>
    </w:p>
    <w:p w:rsidRPr="503DC450" w:rsidP="00A92C9B">
      <w:pPr>
        <w:numPr>
          <w:ilvl w:val="0"/>
          <w:numId w:val="21"/>
        </w:numPr>
        <w:ind w:left="720" w:right="0" w:hanging="360"/>
        <w:jc w:val="left"/>
        <w:rPr>
          <w:rFonts w:ascii="Arial" w:hAnsi="Arial" w:cs="Arial"/>
          <w:sz w:val="22"/>
          <w:szCs w:val="22"/>
        </w:rPr>
      </w:pPr>
      <w:r w:rsidRPr="503DC450">
        <w:rPr>
          <w:rFonts w:ascii="Arial" w:hAnsi="Arial" w:cs="Arial"/>
          <w:sz w:val="22"/>
          <w:szCs w:val="22"/>
        </w:rPr>
        <w:t>Annual review and development</w:t>
      </w:r>
    </w:p>
    <w:p w:rsidRPr="503DC450" w:rsidP="00A92C9B">
      <w:pPr>
        <w:numPr>
          <w:ilvl w:val="0"/>
          <w:numId w:val="21"/>
        </w:numPr>
        <w:ind w:left="720" w:right="0" w:hanging="360"/>
        <w:jc w:val="left"/>
        <w:rPr>
          <w:rFonts w:ascii="Arial" w:hAnsi="Arial" w:cs="Arial"/>
          <w:sz w:val="22"/>
          <w:szCs w:val="22"/>
        </w:rPr>
      </w:pPr>
      <w:r w:rsidRPr="503DC450">
        <w:rPr>
          <w:rFonts w:ascii="Arial" w:hAnsi="Arial" w:cs="Arial"/>
          <w:sz w:val="22"/>
          <w:szCs w:val="22"/>
        </w:rPr>
        <w:t>Periodic review undertaken at subject level</w:t>
      </w:r>
    </w:p>
    <w:p w:rsidRPr="503DC450" w:rsidP="00A92C9B">
      <w:pPr>
        <w:numPr>
          <w:ilvl w:val="0"/>
          <w:numId w:val="21"/>
        </w:numPr>
        <w:ind w:left="720" w:right="0" w:hanging="360"/>
        <w:jc w:val="left"/>
        <w:rPr>
          <w:rFonts w:ascii="Arial" w:hAnsi="Arial" w:cs="Arial"/>
          <w:sz w:val="22"/>
          <w:szCs w:val="22"/>
        </w:rPr>
      </w:pPr>
      <w:r w:rsidRPr="503DC450">
        <w:rPr>
          <w:rFonts w:ascii="Arial" w:hAnsi="Arial" w:cs="Arial"/>
          <w:sz w:val="22"/>
          <w:szCs w:val="22"/>
        </w:rPr>
        <w:t>Student evaluation</w:t>
      </w:r>
    </w:p>
    <w:p w:rsidRPr="503DC450" w:rsidP="00A92C9B">
      <w:pPr>
        <w:numPr>
          <w:ilvl w:val="0"/>
          <w:numId w:val="21"/>
        </w:numPr>
        <w:ind w:left="720" w:right="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r w:rsidRPr="503DC450">
        <w:rPr>
          <w:rFonts w:ascii="Arial" w:hAnsi="Arial" w:cs="Arial"/>
          <w:sz w:val="22"/>
          <w:szCs w:val="22"/>
        </w:rPr>
        <w:t>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This programme has been designed to meet the requirements of a Master’s level qualification and as such prepares students for a career in hospital-based cancer laboratories, research institutions and for a PhD in oncology.</w:t>
      </w:r>
    </w:p>
    <w:p w:rsidRPr="503DC450" w:rsidP="001A372B">
      <w:pPr>
        <w:rPr>
          <w:rFonts w:ascii="Arial" w:hAnsi="Arial" w:cs="Arial"/>
          <w:sz w:val="22"/>
          <w:szCs w:val="22"/>
        </w:rPr>
      </w:pPr>
      <w:r w:rsidRPr="503DC450">
        <w:rPr>
          <w:rFonts w:ascii="Arial" w:hAnsi="Arial" w:cs="Arial"/>
          <w:sz w:val="22"/>
          <w:szCs w:val="22"/>
        </w:rPr>
        <w:t>Current employers are involved in the delivery of the programme, and ensure that the content of the programme, and the knowledge and skills students acquire, are appropriate to workplace requirements.</w:t>
      </w:r>
    </w:p>
    <w:p w:rsidRPr="503DC450" w:rsidP="001A372B">
      <w:pPr>
        <w:rPr>
          <w:rFonts w:ascii="Arial" w:hAnsi="Arial" w:cs="Arial"/>
          <w:sz w:val="22"/>
          <w:szCs w:val="22"/>
        </w:rPr>
      </w:pPr>
      <w:r w:rsidRPr="503DC450">
        <w:rPr>
          <w:rFonts w:ascii="Arial" w:hAnsi="Arial" w:cs="Arial"/>
          <w:sz w:val="22"/>
          <w:szCs w:val="22"/>
        </w:rPr>
        <w:t>Emphasis is also placed on the transferability of these skills, and graduates of this programme have taken up posts in a variety of employment settings including the NHS, commercial and research laboratories. Some students continue with their studies, and the programme is an excellent basis for those who intend to pursue a research career via a</w:t>
      </w:r>
    </w:p>
    <w:p w:rsidRPr="503DC450" w:rsidP="001A372B">
      <w:pPr>
        <w:rPr>
          <w:rFonts w:ascii="Arial" w:hAnsi="Arial" w:cs="Arial"/>
          <w:sz w:val="22"/>
          <w:szCs w:val="22"/>
        </w:rPr>
      </w:pPr>
      <w:r w:rsidRPr="503DC450">
        <w:rPr>
          <w:rFonts w:ascii="Arial" w:hAnsi="Arial" w:cs="Arial"/>
          <w:sz w:val="22"/>
          <w:szCs w:val="22"/>
        </w:rPr>
        <w:t>PhD. Additionally, the degree can be used as a qualification for entry to PGCE teacher training.</w:t>
      </w:r>
    </w:p>
    <w:p w:rsidRPr="503DC450" w:rsidP="001A372B">
      <w:pPr>
        <w:rPr>
          <w:rFonts w:ascii="Arial" w:hAnsi="Arial" w:cs="Arial"/>
          <w:sz w:val="22"/>
          <w:szCs w:val="22"/>
        </w:rPr>
      </w:pPr>
      <w:r w:rsidRPr="503DC450">
        <w:rPr>
          <w:rFonts w:ascii="Arial" w:hAnsi="Arial" w:cs="Arial"/>
          <w:sz w:val="22"/>
          <w:szCs w:val="22"/>
        </w:rPr>
        <w:t>For students already in employment the programme offers an opportunity to enhance their knowledge and to develop their practical, intellectual and key skills to assist them in their career development.</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Pr="503DC450" w:rsidP="00A92C9B">
      <w:pPr>
        <w:rPr>
          <w:rFonts w:ascii="Arial" w:hAnsi="Arial" w:cs="Arial"/>
          <w:sz w:val="22"/>
          <w:szCs w:val="22"/>
        </w:rPr>
      </w:pPr>
      <w:r w:rsidRPr="503DC450">
        <w:rPr>
          <w:rFonts w:ascii="Arial" w:hAnsi="Arial" w:cs="Arial"/>
          <w:sz w:val="22"/>
          <w:szCs w:val="22"/>
        </w:rPr>
        <w:t>Placements in commercial, research and NHS laboratories are also available for some students when carrying out their Research Projects. Care is taken to involve students in the day-to-day work of these laboratories, allowing students to gain an understanding of how important ‘employability skills’ are in a ‘real-world’ situation.</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pStyle w:val="p"/>
        <w:spacing w:before="0" w:after="0"/>
        <w:ind w:left="360" w:right="0"/>
        <w:rPr>
          <w:rFonts w:ascii="Arial" w:eastAsia="Arial" w:hAnsi="Arial" w:cs="Arial"/>
          <w:b/>
          <w:bCs/>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Programme information on the University website</w:t>
      </w:r>
    </w:p>
    <w:p w:rsidRPr="503DC450" w:rsidP="00A92C9B">
      <w:pPr>
        <w:pStyle w:val="p"/>
        <w:spacing w:before="0" w:after="0"/>
        <w:ind w:left="0" w:right="0"/>
        <w:rPr>
          <w:rFonts w:ascii="Times New Roman" w:eastAsia="Times New Roman" w:hAnsi="Times New Roman" w:cs="Times New Roman"/>
          <w:sz w:val="22"/>
          <w:szCs w:val="22"/>
        </w:rPr>
      </w:pPr>
      <w:hyperlink r:id="rId11" w:history="1">
        <w:r w:rsidRPr="503DC450">
          <w:rPr>
            <w:rFonts w:ascii="Arial" w:eastAsia="Arial" w:hAnsi="Arial" w:cs="Arial"/>
            <w:color w:val="0000FF"/>
            <w:sz w:val="22"/>
            <w:szCs w:val="22"/>
            <w:u w:val="single" w:color="0000FF"/>
          </w:rPr>
          <w:t>http://www.kingston.ac.uk/postgraduate-course/biomedical-science-msc/</w:t>
        </w:r>
      </w:hyperlink>
      <w:r w:rsidRPr="503DC450">
        <w:rPr>
          <w:rFonts w:ascii="Arial" w:eastAsia="Arial" w:hAnsi="Arial" w:cs="Arial"/>
          <w:sz w:val="22"/>
          <w:szCs w:val="22"/>
        </w:rPr>
        <w:t xml:space="preserve"> </w:t>
      </w:r>
      <w:r w:rsidRPr="503DC450">
        <w:rPr>
          <w:rFonts w:ascii="Times New Roman" w:eastAsia="Times New Roman" w:hAnsi="Times New Roman" w:cs="Times New Roman"/>
          <w:sz w:val="22"/>
          <w:szCs w:val="22"/>
        </w:rPr>
        <w:tab/>
      </w:r>
    </w:p>
    <w:p w:rsidRPr="503DC450" w:rsidP="00A92C9B">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Faculty of Science, Engineering and Computing</w:t>
      </w:r>
    </w:p>
    <w:p w:rsidRPr="503DC450" w:rsidP="00A92C9B">
      <w:pPr>
        <w:pStyle w:val="p"/>
        <w:spacing w:before="0" w:after="0"/>
        <w:ind w:left="0" w:right="0"/>
        <w:rPr>
          <w:rFonts w:ascii="Times New Roman" w:eastAsia="Times New Roman" w:hAnsi="Times New Roman" w:cs="Times New Roman"/>
          <w:sz w:val="22"/>
          <w:szCs w:val="22"/>
        </w:rPr>
      </w:pPr>
      <w:hyperlink r:id="rId12" w:history="1">
        <w:r w:rsidRPr="503DC450">
          <w:rPr>
            <w:rFonts w:ascii="Arial" w:eastAsia="Arial" w:hAnsi="Arial" w:cs="Arial"/>
            <w:color w:val="0000FF"/>
            <w:sz w:val="22"/>
            <w:szCs w:val="22"/>
            <w:u w:val="single" w:color="0000FF"/>
          </w:rPr>
          <w:t>http://sec.kingston.ac.uk/</w:t>
        </w:r>
      </w:hyperlink>
    </w:p>
    <w:p w:rsidRPr="503DC450" w:rsidP="00A92C9B">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School o</w:t>
      </w:r>
      <w:r w:rsidRPr="503DC450">
        <w:rPr>
          <w:rFonts w:ascii="Arial" w:eastAsia="Arial" w:hAnsi="Arial" w:cs="Arial"/>
          <w:sz w:val="22"/>
          <w:szCs w:val="22"/>
        </w:rPr>
        <w:t>f Life Sciences</w:t>
      </w:r>
    </w:p>
    <w:p w:rsidRPr="503DC450" w:rsidP="00A92C9B">
      <w:pPr>
        <w:pStyle w:val="p"/>
        <w:spacing w:before="0" w:after="0"/>
        <w:ind w:left="0" w:right="0"/>
        <w:rPr>
          <w:rFonts w:ascii="Times New Roman" w:eastAsia="Times New Roman" w:hAnsi="Times New Roman" w:cs="Times New Roman"/>
          <w:sz w:val="22"/>
          <w:szCs w:val="22"/>
        </w:rPr>
      </w:pPr>
      <w:hyperlink r:id="rId13" w:history="1">
        <w:r w:rsidRPr="503DC450">
          <w:rPr>
            <w:rFonts w:ascii="Arial" w:eastAsia="Arial" w:hAnsi="Arial" w:cs="Arial"/>
            <w:color w:val="0000FF"/>
            <w:sz w:val="22"/>
            <w:szCs w:val="22"/>
            <w:u w:val="single" w:color="0000FF"/>
          </w:rPr>
          <w:t>http://sec.kingston.ac.uk/about-SEC/schools/life-science/</w:t>
        </w:r>
      </w:hyperlink>
      <w:r w:rsidRPr="503DC450">
        <w:rPr>
          <w:rFonts w:ascii="Arial" w:eastAsia="Arial" w:hAnsi="Arial" w:cs="Arial"/>
          <w:sz w:val="22"/>
          <w:szCs w:val="22"/>
        </w:rPr>
        <w:t xml:space="preserve"> </w:t>
      </w:r>
    </w:p>
    <w:p w:rsidRPr="503DC450" w:rsidP="00A92C9B">
      <w:pPr>
        <w:pStyle w:val="p"/>
        <w:spacing w:before="0" w:after="0"/>
        <w:ind w:left="0" w:right="0"/>
        <w:rPr>
          <w:rFonts w:ascii="Calibri" w:eastAsia="Calibri" w:hAnsi="Calibri" w:cs="Calibri"/>
          <w:sz w:val="20"/>
          <w:szCs w:val="20"/>
        </w:rPr>
      </w:pP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416"/>
        <w:gridCol w:w="762"/>
        <w:gridCol w:w="762"/>
        <w:gridCol w:w="762"/>
        <w:gridCol w:w="762"/>
        <w:gridCol w:w="76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LS7010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LS7008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LS7001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kingston.ac.uk/about-SEC/schools/life-science/"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ec.kingston.ac.uk/"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kingston.ac.uk/postgraduate-course/biomedical-science-msc/"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7B1D512-3921-4FEC-8499-A20973FF0E7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