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MPharmSci</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09/04/2019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MPharmSci</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Pharmaceutical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Pharmaceutical Science</w:t>
            </w:r>
            <w:r>
              <w:br/>
            </w:r>
            <w:r w:rsidRPr="2030048C" w:rsidR="71C545CA">
              <w:rPr>
                <w:rFonts w:ascii="Arial" w:eastAsia="Arial" w:hAnsi="Arial" w:cs="Arial"/>
                <w:b w:val="0"/>
                <w:bCs w:val="0"/>
                <w:sz w:val="24"/>
                <w:szCs w:val="24"/>
                <w:lang w:val="en-GB"/>
              </w:rPr>
              <w:t>BSc (Hons) Pharmaceutical Sciences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TBC</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FF0000"/>
                <w:sz w:val="24"/>
                <w:szCs w:val="24"/>
              </w:rPr>
              <w:t> </w:t>
            </w: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programme taken by MPharm Sci students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all students who take the pharmaceutical science course, including those on the regulatory affairs pathway, with an in-depth knowledge and understanding of the core areas of pharmaceutical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the design, synthesis, and development of drugs through the study of appropriate examples.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their independent learning skills using primary and secondary literature sources.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subject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opportunity to develop their digital, written, and oral communication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both scientific and otherwise, and study for a higher degree, whether taught or by research, by developing their intellectual, problem-solving, teamwork and analytical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 comprehensive understanding of the pivotal role pharmaceutical science plays in addressing worldwide health challenges, by encouraging the students to be champions of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complete a period of work experience in an area of pharmaceutical science which is related to their studies and to enhance, using this experience, their knowledge of career opportunities in the academic, pharmaceutical and related areas.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core pharmaceutical regulatory affairs and their application in pharmaceutical manufacturing, enabling students to apply regulatory requirements and guidance to medicines and medicinal products.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core areas of pharmaceutical science including organic chemistry, bioanalysis, pharmaceutical chemistry, introductory biology, pharmacology, toxicology and immunology, pharmaceutics and drug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 with an appreciation of the appropriate use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laboratory work in chemistry, life science and related subjects in a safe, competent and professional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the mathematical, statistical and computational skills necessary for working in a scientific capacity in an academic, commercial or industrial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understanding and empathy in the collaborative solving of global challenges by using inclusive and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COSHH safety assessments for any experiment and perform laboratory techniques safely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Competently and safely use  a variety of modern scientific instruments and computers with dedicated software to areas of pharmaceutical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autonomously.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complex experiments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regulations applicable to the development, testing and marketing of pharmaceutical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rigorous data analysis from a variety of sources to discern and establish connections and contradictions.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scientific instruments, understand the principles of their operation and obtain reproducible experimental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those on the Regulatory Affairs pathway: Interpret and use relevant guidelines for example those from the ICH, EMA, and MHRA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execute and report on an individual research project and review and evaluate others’ work in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wider range of practical skills and knowledge acquired from industrial experience or from a broader choice of option modules.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methodologies for undertaking an advanced original research programme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Undertaking More advanced material relating to the field of pharmaceutical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comprises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Academic Skills for Molecular Sciences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Practical and Research Skills in Pharmaceutical Science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MPharmSci</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Biosciences and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Concepts, Analysis,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MPharmSci</w:t>
            </w:r>
            <w:r w:rsidRPr="2030048C">
              <w:rPr>
                <w:rFonts w:ascii="Arial" w:eastAsia="Arial" w:hAnsi="Arial" w:cs="Arial"/>
                <w:b/>
                <w:bCs/>
                <w:lang w:val="en-GB"/>
              </w:rPr>
              <w:t xml:space="preserve"> </w:t>
            </w:r>
            <w:r w:rsidRPr="2030048C">
              <w:rPr>
                <w:rFonts w:ascii="Arial" w:eastAsia="Arial" w:hAnsi="Arial" w:cs="Arial"/>
                <w:b/>
                <w:bCs/>
                <w:lang w:val="en-GB"/>
              </w:rPr>
              <w:t>Pharmaceutical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 with Global Medicine and Personalised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Formulation and Pharmaceutics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Techniques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Formulation and Drug Delivery in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 Development – Bench to Bedside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Organic and Natural Product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Discovery and Development of Pharmaceuticals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Manufacture and Clinical Trials of Medicines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having completed the full 120 credits but have successfully completed 120 credits at level 6 or above are eligible for the award of BSc (Hons) Pharmaceutical Sciences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Placements administrator</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Library, which includes the four on campus libraries as well as an online library and other e-resources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Academy of Pharmaceutical Science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The Organisation of Professionals in Regulatory Affairs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Academy of Pharmaceutical Science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The Organisation of Professionals in Regulatory Affairs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20"/>
        <w:gridCol w:w="193"/>
        <w:gridCol w:w="494"/>
        <w:gridCol w:w="494"/>
        <w:gridCol w:w="494"/>
        <w:gridCol w:w="494"/>
        <w:gridCol w:w="494"/>
        <w:gridCol w:w="494"/>
        <w:gridCol w:w="494"/>
        <w:gridCol w:w="494"/>
        <w:gridCol w:w="494"/>
        <w:gridCol w:w="494"/>
        <w:gridCol w:w="494"/>
        <w:gridCol w:w="494"/>
        <w:gridCol w:w="487"/>
        <w:gridCol w:w="494"/>
        <w:gridCol w:w="494"/>
        <w:gridCol w:w="4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CH7070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entry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5CF1B56-B5C2-4CA0-91F5-2A5D0DD9232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