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MPharm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Pharmacy with Biopharmaceutics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03/02/2025</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10/02/2026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06/02/2026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9</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normaltextrun"/>
                <w:rFonts w:ascii="Arial" w:hAnsi="Arial" w:cs="Arial"/>
                <w:b w:val="0"/>
                <w:bCs w:val="0"/>
                <w:color w:val="000000" w:themeColor="text1" w:themeShade="FF" w:themeTint="FF"/>
                <w:sz w:val="24"/>
                <w:szCs w:val="24"/>
                <w:lang w:val="en-GB"/>
              </w:rPr>
              <w:t>Not applicable</w:t>
            </w: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Life Sciences, Pharmacy and Chemistry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Pharmacy</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 and City St George’s, University of London</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MPharm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Pharmacy with Biopharmaceutics</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Certificate of Higher Education in Pharmacy with Biopharmaceutics</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Bachelor of Science in Pharmacy with Biopharmaceutics</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Diploma of Higher Education in Pharmacy with Biopharmaceutics</w:t>
            </w:r>
            <w:r>
              <w:br/>
            </w:r>
            <w:r w:rsidRPr="2030048C" w:rsidR="71C545CA">
              <w:rPr>
                <w:rFonts w:ascii="Arial" w:eastAsia="Arial" w:hAnsi="Arial" w:cs="Arial"/>
                <w:b w:val="0"/>
                <w:bCs w:val="0"/>
                <w:sz w:val="24"/>
                <w:szCs w:val="24"/>
                <w:lang w:val="en-GB"/>
              </w:rPr>
              <w:t>Bachelor of Science (Hons) in Pharmacy with Biopharmaceutics   MPharmSci (Hons) in Pharmacy with Biopharmaceutics.</w:t>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UFPCY1PCY80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B233</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 and City St George’s, University of London</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 and City St George’s, University of London</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5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10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General Pharmaceutical Council (GPhC)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note: Exit awards are not accredited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Restrictions on repeat:</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Levels 4 and 5 (year 1)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A student may be permitted reassessment by repeat in a maximum of 60 credits (in total) across level 4 and 5 (year 1).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Level 5 (year 2) and Level 6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Reassessment by repeat is not permitted and a student will exit the programme.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Level 7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Reassessment by repeat is not permitted and the Programme Assessment Board will terminate the student’s registration on the MPharm Programme.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Compensation: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Compensation is not permitted.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Trailing:</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Trailing assessment is not permitted. Students cannot progress from one level to another while trailing assessments of a 30 credit or zero credit module to the next level.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Restrictions on assessment attempts:</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Students must pass all elements of the Academic and Professional Skills Portfolio module at levels 5 (year 1), 5 (year 2), 6 and 7. The pass mark for the Calculation Test and the OSCE assessments will be standard set. A maximum of two attempts will be permitted for the Calculations Test assessment. A maximum of two attempts will be permitted for the OSCE assessment.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For the OSCE assessment, competence is being assessed within a specified time and therefore no extra time for each station will be permitted, although other reasonable adjustments, e.g., large font papers, coloured filters, etc could be provided. </w:t>
            </w:r>
          </w:p>
          <w:tbl>
            <w:tblPr>
              <w:tblCellSpacing w:w="15" w:type="dxa"/>
              <w:tblCellMar>
                <w:top w:w="15" w:type="dxa"/>
                <w:left w:w="15" w:type="dxa"/>
                <w:bottom w:w="15" w:type="dxa"/>
                <w:right w:w="15" w:type="dxa"/>
              </w:tblCellMar>
            </w:tblPr>
            <w:tblGrid>
              <w:gridCol w:w="5674"/>
            </w:tblGrid>
            <w:tr>
              <w:tc>
                <w:tcPr>
                  <w:noWrap w:val="0"/>
                  <w:tcMar>
                    <w:top w:w="15" w:type="dxa"/>
                    <w:left w:w="15" w:type="dxa"/>
                    <w:bottom w:w="15" w:type="dxa"/>
                    <w:right w:w="15" w:type="dxa"/>
                  </w:tcMar>
                  <w:vAlign w:val="center"/>
                  <w:hideMark/>
                </w:tcPr>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Approved variant to be exempted from the 15-credit Apply module. This approval would be for one further academic year, until the end of 2026/27.</w:t>
                  </w:r>
                </w:p>
              </w:tc>
            </w:tr>
          </w:tbl>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science-based pharmacy education, with a strong foundation in cell biology, human physiology, pathological microorganisms, and the formulation of pharmaceutical dosage forms, including sustainable practices to equip students with the knowledge and skills to practise pharmacy underpinned by science.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responsible practitioners who are reflective, ethical, safe, sustainable, and inclusive.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Support students to uphold the expected professional attributes and standards including safeguarding, confidentiality, and sustainable practices.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Prepare students to prescribe using evidence-based frameworks and manage prescribing risks.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collaborative professionals with strong communication and teamwork skills.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Nurture leadership and management with a focus on resilience and flexibility.</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Build confidence in consultations and effective communication for holistic patient care.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with critical thinking, problem-solving, and decision-making skills.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Enhance students’ ability to appraise and synthesise evidence for decision-making.</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Cultivate research, technology, and quality improvement skills.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Offer experiential and simulated learning in diagnosis, prescribing, and patient care, enabling students to apply theoretical principles in diagnosing disease and understanding pathophysiology, supplying and prescribing medicines, monitoring outcomes, and managing medical emergencies.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Promote health and address inequalities, aligned with the United Nations development goals.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Encourage personal responsibility for lifelong learning and professional development, who recognise their limitations, seek support, raise concerns and take appropriate action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Possess and apply appropriate professional skills including knowledge of laws, sustainable approaches, ethics governing the supply of medicines, and effectively interacting with patients as part of a multidisciplinary team to promote health.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multidisciplinary and inclusive working, effective leadership, professional judgement.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chemical, biological, physical, and mathematical concepts to inform basic drug formulation.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chemical and physical principles to the design and formulation of dosage forms and recognise the importance of key concepts in physiology and microbiology relevant to healthcare.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Design, conduct and report on an independent research project, laboratory activity, an audit or service evaluation including the critique of the available primary and secondary literature related to the subject area.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Perform diagnostic tests, keep records, appraise data from scientific experiments and clinical trials and interpret pathology data.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the drug development process and possess basic knowledge of pre-formulation, formulation stages, and large-scale production relevant to drugs, biologics and ATMP.</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Undertake evidence-based and person-centred decision making in relation to prescribing and/or medicines optimisation, deprescribing, reconciliation and health protection and promotion through simulations and experiential learning.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chemical, biological, physical and mathematical concepts as well as critical appraisal of literature using clinical guidelines and frameworks to inform treatment selection and disease management as part of a holistic decision-making process.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Describe basic and fundamental concepts underlying drugs' bioavailability and pharmacokinetics in determining drug action and side effects.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Optimise, select and prescribe medications safely and in a cost-effective manner while managing risks and follow up of care.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Evaluate available formulations to recommend or prescribe individualised treatment considering efficacy, safety, patient choice and suitability.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the underlying principles of anatomy, cell biology, physiology, and pharmacology to better understand disease progression and treatment, while explaining the physiological and practical principles that underpin diagnostic tests used to monitor patient health and the interpretation of results.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competence and ability to practise within all areas safely, including calculations, supply of medicines and prescribing while incorporating clinical governance processes.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Undertake structured and holistic consultations in partnership with patients including taking their full history, performing appropriate clinical assessment, interpreting their results, monitoring, managing health including co-morbidities, safety netting and transfer of care and communicating effectively.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Discuss the main considerations in health promotion and public health and describe key theories in health and how they support the development of public policy, whilst addressing the UN Sustainability Goals and viewing problems from diverse perspectives to find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Conduct effective holistic and inclusive consultations using prescribing attributes and diagnostic skills.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Document and endorse clinical skills and learning achieved through placements and simulated sessions in an e-portfolio that demonstrates their ability to reflect, set goals and take action in relation to their own development and future plans.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Evaluate the aetiology and treatment of various diseases when dealing with case scenarios.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student module guides as available on Canvas.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course contains no optional modules. All modules need to be completed and passed to progress.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MPharm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Pharmacy with Biopharmaceutics</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MPharm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Pharmacy with Biopharmaceutics</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Academic and Professional Skills Portfolio</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PY4110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Basic Pharmaceutics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PY4160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Foundation Chemistry for Pharmacy and Pharmaceutical Sciences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PY4130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Fundamentals of Human Physiology and Infection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PY4150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ind w:left="135"/>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Progression to level 5 requires a pass in all 4 modules. </w:t>
      </w:r>
    </w:p>
    <w:p w:rsidR="7A33046F" w:rsidRPr="2030048C" w:rsidP="2030048C">
      <w:pPr>
        <w:ind w:left="135"/>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MPharm (Hons)</w:t>
            </w:r>
            <w:r w:rsidRPr="2030048C">
              <w:rPr>
                <w:rFonts w:ascii="Arial" w:eastAsia="Arial" w:hAnsi="Arial" w:cs="Arial"/>
                <w:b/>
                <w:bCs/>
                <w:lang w:val="en-GB"/>
              </w:rPr>
              <w:t xml:space="preserve"> </w:t>
            </w:r>
            <w:r w:rsidRPr="2030048C">
              <w:rPr>
                <w:rFonts w:ascii="Arial" w:eastAsia="Arial" w:hAnsi="Arial" w:cs="Arial"/>
                <w:b/>
                <w:bCs/>
                <w:lang w:val="en-GB"/>
              </w:rPr>
              <w:t>Pharmacy with Biopharmaceutics</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ACADEMIC AND PROFESSIONAL SKILLS PORTFOLIO MODULE LEVEL 5</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PY5000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ACADEMIC PORTFOLIO MODULE LEVEL 5</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PY5100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See Module Descriptor</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Approaches to Pharmaceutical Manufacturing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PY5141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Cardiorespiratory and Endocrine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PY5041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Clinical Skills 1</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PY5021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9"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Drug Design, Delivery and Quality Control</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PY5011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A"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Fundamentals of cell and human physiology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PY5131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B"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Pharmacy Law, Ethics and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PY5111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C"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The Central Nervous System, Gastrointestinal  Tract and Immunology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PY5051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D"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Wellbeing and Health</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PY5121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ind w:left="135"/>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w:t>
      </w:r>
      <w:r w:rsidRPr="2030048C">
        <w:rPr>
          <w:rStyle w:val="normaltextrun"/>
          <w:rFonts w:ascii="Arial" w:eastAsia="Arial" w:hAnsi="Arial" w:cs="Arial"/>
          <w:color w:val="000000" w:themeColor="text1" w:themeShade="FF" w:themeTint="FF"/>
          <w:sz w:val="24"/>
          <w:szCs w:val="24"/>
        </w:rPr>
        <w:t xml:space="preserve"> to level 5 (Year 2) requires a pass in all 6 modules </w:t>
      </w:r>
    </w:p>
    <w:p w:rsidR="3891A81D" w:rsidRPr="2030048C" w:rsidP="2030048C">
      <w:pPr>
        <w:ind w:left="135"/>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Diploma of Higher Education</w:t>
      </w:r>
    </w:p>
    <w:p w:rsidR="3891A81D" w:rsidRPr="2030048C" w:rsidP="2030048C">
      <w:pPr>
        <w:ind w:left="135"/>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6 requires a pass in all 5 modules from level 5 (year 2)</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MPharm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Pharmacy with Biopharmaceutics</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ACADEMIC &amp; PROFESSIONAL SKILLS PORTFOLIO 3</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PY6000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Clinical Skills 2</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PY6031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Endocrine, The Eye, Reproduction and Inflammation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PY6021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Infection, Immunology, Haematology and Cancer</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PY6011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Neurology, Mental Health and Cardiovascular</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PY6151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7 requires a pass in all modules at level 6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60 credits at level 6 are eligible for the award of Bachelor of Science (Ordinary Degree) .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Bachelor of Science (Hons) .  </w:t>
      </w:r>
    </w:p>
    <w:p w:rsidR="66934EB1" w:rsidP="2030048C" w14:textId="25B67DE5">
      <w:pPr>
        <w:rPr>
          <w:rFonts w:ascii="Arial" w:eastAsia="Arial" w:hAnsi="Arial" w:cs="Arial"/>
          <w:color w:val="000000" w:themeColor="text1"/>
          <w:sz w:val="24"/>
          <w:szCs w:val="24"/>
          <w:lang w:val="en-GB"/>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MPharm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Pharmacy with Biopharmaceutics</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ACADEMIC AND PROFESSIONAL SKILLS PORTFOLIO MODULE LEVEL 7</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PY7000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Clinical skills and Leadership</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PY7021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Integrated and Holistic Therapeutics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PY7011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PY7031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To be awarded the MPharm requires a pass in all Level 7 modules</w:t>
      </w:r>
    </w:p>
    <w:p w:rsidR="22C556D0"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who fail to meet the MPharm assessment requirements at this point but have successfully completed 120 credits at Level 7 under the University’s Undergraduate Regulations (UR) are eligible for the award of MPharmSci.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who fail to meet the MPharm pass requirements and fail to achieve 120 level 7 credits under undergraduate regulations will be awarded the highest exit award available to them.</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Pharmacy with Biopharmaceutics course uses a variety of teaching and learning methods designed to support students’ development and achievement of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 Aligned with the General Pharmaceutical Council (GPhC) Standards of Initial Education and Training for pharmacists, the course combines theory and practice, ensuring students gain essential pharmacy knowledge, clinical skills, and professionalism.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are delivered through a combination of scheduled activities and guided independent study. Scheduled Learning and Teaching includes the following, and the format for each module is set out in the module specification which include laboratory sessions, lectures, seminars, tutorials, workshops, simulations and placements.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is committed to addressing at least two United Nations Sustainable Development Goals (UN SDGs), ensuring students are empowered with the knowledge and skills to tackle global health challenges. Sustainability and inclusivity are embedded throughout the curriculum, enabling students to address issues such as health inequalities and promoting wellbeing for all.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embeds synoptic assessments at each level to integrate knowledge from multiple modules. These assessments, such as OSCEs, calculation tests, and synoptic exams, ensure students demonstrate safe prescribing and person-centred care. An e-portfolio, required at each level, records competencies gained through placements and reflective learning, essential for progression and graduation.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programme structure.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personalised academic and pastoral support throughout their journey at Kingston with regular meetings throughout the year. Personal tutors help develop students’ ability to be self-reliant and self-reflective by fostering a close and engaged academic relationship with students.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university placement tutor to ensure students understand how to prepare for placements and what needs to be completed during - placements.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 designated placement supervisor on site to ensure that students have guidance and support during the placement and related activities.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A designated programme administrator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An induction week at the beginning of each new academic year including a session to describe and explain progression through the course.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Student Voice Committee – giving all students the opportunity to feedback via course representatives. </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Canvas – a versatile on-line interactive intranet and learning environment. </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Academic Success Centre that provides academic skills support </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provide advice on issues such as finance, regulations, legal matters, accommodation, international student support etc. </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 Mental health and disability team that offers drop-in appointments and online support guide from the Student Health and Wellbeing service. </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Kingston Students’ Union </w:t>
      </w:r>
    </w:p>
    <w:p w:rsidRPr="2030048C" w:rsidP="2030048C">
      <w:pPr>
        <w:numPr>
          <w:ilvl w:val="0"/>
          <w:numId w:val="28"/>
        </w:numPr>
        <w:ind w:left="720" w:hanging="360"/>
        <w:jc w:val="left"/>
        <w:rPr>
          <w:rFonts w:ascii="Arial" w:eastAsia="Arial" w:hAnsi="Arial" w:cs="Arial"/>
          <w:sz w:val="24"/>
          <w:szCs w:val="24"/>
          <w:lang w:val="en-US" w:eastAsia="en-US"/>
        </w:rPr>
      </w:pPr>
      <w:r w:rsidRPr="2030048C">
        <w:rPr>
          <w:rFonts w:ascii="Arial" w:eastAsia="Arial" w:hAnsi="Arial" w:cs="Arial"/>
          <w:sz w:val="24"/>
          <w:szCs w:val="24"/>
          <w:lang w:val="en-US" w:eastAsia="en-US"/>
        </w:rPr>
        <w:t>Careers and Employability Service  </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sz w:val="24"/>
          <w:szCs w:val="24"/>
        </w:rPr>
        <w:t>Students are encouraged to join the Royal Pharmaceutical Society (RPS) as a student member which is free and gives them access to a wide range of resources. </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sz w:val="24"/>
          <w:szCs w:val="24"/>
        </w:rPr>
        <w:t>KUPSA (Kingston University Pharmacy Students’ Association), offers wellbeing support, social events and professional development opportunities to fellow students. </w:t>
      </w:r>
    </w:p>
    <w:p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4"/>
          <w:szCs w:val="24"/>
        </w:rPr>
        <w:t>BPSA (British Pharmaceutical Students’ Association), the official student body of the Royal Pharmaceutical Society, offers free full membership to undergraduates and first year graduates students. BPSA members are also members of the European Pharmaceutical Students’ Association (EPSA) and International Pharmaceutical Students’ Federation (IPSF).  Students can get involved in the profession, attend national and international conferences. </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4"/>
          <w:szCs w:val="24"/>
        </w:rPr>
        <w:t>NAVIGATE, EXPLORE and APPLY workshops to support students in their learning. </w:t>
      </w:r>
    </w:p>
    <w:p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4"/>
          <w:szCs w:val="24"/>
        </w:rPr>
        <w:t>New simulation units and placements encapsulating experiential learning.  </w:t>
      </w:r>
    </w:p>
    <w:p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4"/>
          <w:szCs w:val="24"/>
        </w:rPr>
        <w:t>E-learning packages such as SCRIPT and MyDispense to increase accessibility.  </w:t>
      </w:r>
    </w:p>
    <w:p w:rsidRPr="2030048C" w:rsidP="2030048C">
      <w:pPr>
        <w:numPr>
          <w:ilvl w:val="0"/>
          <w:numId w:val="35"/>
        </w:numPr>
        <w:ind w:left="720" w:hanging="360"/>
        <w:jc w:val="left"/>
        <w:rPr>
          <w:rFonts w:ascii="Arial" w:eastAsia="Arial" w:hAnsi="Arial" w:cs="Arial"/>
          <w:sz w:val="24"/>
          <w:szCs w:val="24"/>
        </w:rPr>
      </w:pPr>
      <w:r w:rsidRPr="2030048C">
        <w:rPr>
          <w:rFonts w:ascii="Arial" w:eastAsia="Arial" w:hAnsi="Arial" w:cs="Arial"/>
          <w:sz w:val="24"/>
          <w:szCs w:val="24"/>
        </w:rPr>
        <w:t>Students are encouraged to use LinkedIn Learning for personal development.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 </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3D0EBCB8" w:rsidRPr="2030048C" w:rsidP="2030048C">
      <w:pPr>
        <w:numPr>
          <w:ilvl w:val="0"/>
          <w:numId w:val="3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 </w:t>
      </w:r>
    </w:p>
    <w:p w:rsidR="3D0EBCB8" w:rsidRPr="2030048C" w:rsidP="2030048C">
      <w:pPr>
        <w:numPr>
          <w:ilvl w:val="0"/>
          <w:numId w:val="37"/>
        </w:numPr>
        <w:ind w:left="720" w:hanging="360"/>
        <w:jc w:val="left"/>
        <w:rPr>
          <w:rFonts w:ascii="Arial" w:eastAsia="Arial" w:hAnsi="Arial" w:cs="Arial"/>
          <w:sz w:val="24"/>
          <w:szCs w:val="24"/>
        </w:rPr>
      </w:pPr>
      <w:r w:rsidRPr="2030048C">
        <w:rPr>
          <w:rFonts w:ascii="Arial" w:eastAsia="Arial" w:hAnsi="Arial" w:cs="Arial"/>
          <w:sz w:val="24"/>
          <w:szCs w:val="24"/>
        </w:rPr>
        <w:t>School Education Committee </w:t>
      </w:r>
    </w:p>
    <w:p w:rsidR="3D0EBCB8" w:rsidRPr="2030048C" w:rsidP="2030048C">
      <w:pPr>
        <w:numPr>
          <w:ilvl w:val="0"/>
          <w:numId w:val="38"/>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Continuous Enhancement Process (KCEP) </w:t>
      </w:r>
    </w:p>
    <w:p w:rsidR="3D0EBCB8" w:rsidRPr="2030048C" w:rsidP="2030048C">
      <w:pPr>
        <w:numPr>
          <w:ilvl w:val="0"/>
          <w:numId w:val="39"/>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 </w:t>
      </w:r>
    </w:p>
    <w:p w:rsidR="3D0EBCB8" w:rsidRPr="2030048C" w:rsidP="2030048C">
      <w:pPr>
        <w:numPr>
          <w:ilvl w:val="0"/>
          <w:numId w:val="40"/>
        </w:numPr>
        <w:ind w:left="720" w:hanging="360"/>
        <w:jc w:val="left"/>
        <w:rPr>
          <w:rFonts w:ascii="Arial" w:eastAsia="Arial" w:hAnsi="Arial" w:cs="Arial"/>
          <w:sz w:val="24"/>
          <w:szCs w:val="24"/>
        </w:rPr>
      </w:pPr>
      <w:r w:rsidRPr="2030048C">
        <w:rPr>
          <w:rFonts w:ascii="Arial" w:eastAsia="Arial" w:hAnsi="Arial" w:cs="Arial"/>
          <w:sz w:val="24"/>
          <w:szCs w:val="24"/>
        </w:rPr>
        <w:t>GPhC reaccreditation on a regular basis including interim practice visits. </w:t>
      </w:r>
    </w:p>
    <w:p w:rsidR="3D0EBCB8" w:rsidRPr="2030048C" w:rsidP="2030048C">
      <w:pPr>
        <w:numPr>
          <w:ilvl w:val="0"/>
          <w:numId w:val="41"/>
        </w:numPr>
        <w:ind w:left="720" w:hanging="360"/>
        <w:jc w:val="left"/>
        <w:rPr>
          <w:rFonts w:ascii="Arial" w:eastAsia="Arial" w:hAnsi="Arial" w:cs="Arial"/>
          <w:sz w:val="24"/>
          <w:szCs w:val="24"/>
        </w:rPr>
      </w:pPr>
      <w:r w:rsidRPr="2030048C">
        <w:rPr>
          <w:rFonts w:ascii="Arial" w:eastAsia="Arial" w:hAnsi="Arial" w:cs="Arial"/>
          <w:sz w:val="24"/>
          <w:szCs w:val="24"/>
        </w:rPr>
        <w:t>Stakeholder meetings to inform the design and ongoing developments of the programme (Advisory Board) </w:t>
      </w:r>
    </w:p>
    <w:p w:rsidR="3D0EBCB8" w:rsidRPr="2030048C" w:rsidP="2030048C">
      <w:pPr>
        <w:numPr>
          <w:ilvl w:val="0"/>
          <w:numId w:val="42"/>
        </w:numPr>
        <w:ind w:left="720" w:hanging="360"/>
        <w:jc w:val="left"/>
        <w:rPr>
          <w:rFonts w:ascii="Arial" w:eastAsia="Arial" w:hAnsi="Arial" w:cs="Arial"/>
          <w:sz w:val="24"/>
          <w:szCs w:val="24"/>
        </w:rPr>
      </w:pPr>
      <w:r w:rsidRPr="2030048C">
        <w:rPr>
          <w:rFonts w:ascii="Arial" w:eastAsia="Arial" w:hAnsi="Arial" w:cs="Arial"/>
          <w:sz w:val="24"/>
          <w:szCs w:val="24"/>
        </w:rPr>
        <w:t>Quality assurance of placement providers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The General Pharmaceutical Council (GPhC):  </w:t>
      </w:r>
    </w:p>
    <w:p w:rsidRPr="2030048C" w:rsidP="2030048C">
      <w:pPr>
        <w:rPr>
          <w:rFonts w:ascii="Arial" w:eastAsia="Arial" w:hAnsi="Arial" w:cs="Arial"/>
          <w:sz w:val="24"/>
          <w:szCs w:val="24"/>
        </w:rPr>
      </w:pPr>
      <w:hyperlink r:id="rId11" w:tgtFrame="_blank" w:history="1">
        <w:r w:rsidRPr="2030048C">
          <w:rPr>
            <w:rFonts w:ascii="Arial" w:eastAsia="Arial" w:hAnsi="Arial" w:cs="Arial"/>
            <w:sz w:val="24"/>
            <w:szCs w:val="24"/>
          </w:rPr>
          <w:t>https://www.pharmacyregulation.org/</w:t>
        </w:r>
      </w:hyperlink>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Pharmacists’ initial education and training of pharmacists’ standards: </w:t>
      </w:r>
    </w:p>
    <w:p w:rsidRPr="2030048C" w:rsidP="2030048C">
      <w:pPr>
        <w:rPr>
          <w:rFonts w:ascii="Arial" w:eastAsia="Arial" w:hAnsi="Arial" w:cs="Arial"/>
          <w:sz w:val="24"/>
          <w:szCs w:val="24"/>
        </w:rPr>
      </w:pPr>
      <w:hyperlink r:id="rId12" w:tgtFrame="_blank" w:history="1">
        <w:r w:rsidRPr="2030048C">
          <w:rPr>
            <w:rFonts w:ascii="Arial" w:eastAsia="Arial" w:hAnsi="Arial" w:cs="Arial"/>
            <w:sz w:val="24"/>
            <w:szCs w:val="24"/>
          </w:rPr>
          <w:t>https://www.pharmacyregulation.org/initial-training</w:t>
        </w:r>
      </w:hyperlink>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683"/>
        <w:gridCol w:w="142"/>
        <w:gridCol w:w="1"/>
        <w:gridCol w:w="355"/>
        <w:gridCol w:w="1"/>
        <w:gridCol w:w="355"/>
        <w:gridCol w:w="1"/>
        <w:gridCol w:w="355"/>
        <w:gridCol w:w="1"/>
        <w:gridCol w:w="354"/>
        <w:gridCol w:w="1"/>
        <w:gridCol w:w="1"/>
        <w:gridCol w:w="355"/>
        <w:gridCol w:w="1"/>
        <w:gridCol w:w="355"/>
        <w:gridCol w:w="1"/>
        <w:gridCol w:w="355"/>
        <w:gridCol w:w="1"/>
        <w:gridCol w:w="355"/>
        <w:gridCol w:w="1"/>
        <w:gridCol w:w="355"/>
        <w:gridCol w:w="1"/>
        <w:gridCol w:w="355"/>
        <w:gridCol w:w="1"/>
        <w:gridCol w:w="355"/>
        <w:gridCol w:w="1"/>
        <w:gridCol w:w="355"/>
        <w:gridCol w:w="1"/>
        <w:gridCol w:w="355"/>
        <w:gridCol w:w="1"/>
        <w:gridCol w:w="353"/>
        <w:gridCol w:w="2"/>
        <w:gridCol w:w="1"/>
        <w:gridCol w:w="355"/>
        <w:gridCol w:w="1"/>
        <w:gridCol w:w="355"/>
        <w:gridCol w:w="1"/>
        <w:gridCol w:w="355"/>
        <w:gridCol w:w="1"/>
        <w:gridCol w:w="355"/>
        <w:gridCol w:w="1"/>
        <w:gridCol w:w="352"/>
        <w:gridCol w:w="3"/>
        <w:gridCol w:w="1"/>
        <w:gridCol w:w="355"/>
        <w:gridCol w:w="1"/>
        <w:gridCol w:w="355"/>
        <w:gridCol w:w="1"/>
        <w:gridCol w:w="355"/>
        <w:gridCol w:w="1"/>
        <w:gridCol w:w="352"/>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21"/>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11"/>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c>
          <w:tcPr>
            <w:gridSpan w:val="9"/>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PY4110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PY4160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PY4150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PY4130</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PY5100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PY5121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PY5021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PY5000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PY5011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PY5141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PY5131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PY5111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PY5051</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PY5041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PY6000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PY6011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PY6151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PY6021</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PY6031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PY7000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PY7011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PY7031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PY7021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4989B1B"/>
    <w:multiLevelType w:val="hybridMultilevel"/>
    <w:tmpl w:val="74989B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74989B1C"/>
    <w:multiLevelType w:val="hybridMultilevel"/>
    <w:tmpl w:val="74989B1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
    <w:nsid w:val="74989B1D"/>
    <w:multiLevelType w:val="hybridMultilevel"/>
    <w:tmpl w:val="74989B1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
    <w:nsid w:val="74989B1E"/>
    <w:multiLevelType w:val="hybridMultilevel"/>
    <w:tmpl w:val="74989B1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
    <w:nsid w:val="74989B1F"/>
    <w:multiLevelType w:val="hybridMultilevel"/>
    <w:tmpl w:val="74989B1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7">
    <w:nsid w:val="74989B20"/>
    <w:multiLevelType w:val="hybridMultilevel"/>
    <w:tmpl w:val="74989B2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8">
    <w:nsid w:val="74989B21"/>
    <w:multiLevelType w:val="hybridMultilevel"/>
    <w:tmpl w:val="74989B2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9">
    <w:nsid w:val="74989B22"/>
    <w:multiLevelType w:val="hybridMultilevel"/>
    <w:tmpl w:val="74989B2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0">
    <w:nsid w:val="74989B23"/>
    <w:multiLevelType w:val="hybridMultilevel"/>
    <w:tmpl w:val="74989B2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1">
    <w:nsid w:val="74989B24"/>
    <w:multiLevelType w:val="hybridMultilevel"/>
    <w:tmpl w:val="74989B2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www.pharmacyregulation.org/initial-training" TargetMode="Externa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pharmacyregulation.org/" TargetMode="External"/><Relationship Id="rId6" Type="http://schemas.openxmlformats.org/officeDocument/2006/relationships/customXml" Target="../customXml/item3.xml"/><Relationship Id="rId15" Type="http://schemas.openxmlformats.org/officeDocument/2006/relationships/styles" Target="styles.xml"/><Relationship Id="rId10" Type="http://schemas.openxmlformats.org/officeDocument/2006/relationships/footer" Target="footer1.xm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B415E326-741F-4A73-989F-C5AADD763A91}"/>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