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MPharm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Pharmacy with Biopharmaceutics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Not applicable</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Pharmacy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and City St George’s, University of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MPharm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Pharmacy with Biopharmaceutics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Pharmacy with Biopharmaceutics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Bachelor of Science in Pharmacy with Biopharmaceutics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Pharmacy with Biopharmaceutics</w:t>
            </w:r>
            <w:r>
              <w:br/>
            </w:r>
            <w:r w:rsidRPr="2030048C" w:rsidR="71C545CA">
              <w:rPr>
                <w:rFonts w:ascii="Arial" w:eastAsia="Arial" w:hAnsi="Arial" w:cs="Arial"/>
                <w:b w:val="0"/>
                <w:bCs w:val="0"/>
                <w:sz w:val="24"/>
                <w:szCs w:val="24"/>
                <w:lang w:val="en-GB"/>
              </w:rPr>
              <w:t>Bachelor of Science (Hons) in Pharmacy with Biopharmaceutics   MPharmSci (Hons) in Pharmacy with Biopharmaceutics.</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UFPCY1PCY80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B233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City St George’s, University of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and City St George’s, University of London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10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General Pharmaceutical Council (GPhC)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note: Exit awards are not accredited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Restrictions on repeat: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Levels 4 and 5 (year 1)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A student may be permitted reassessment by repeat in a maximum of 60 credits (in total) across level 4 and 5 (year 1).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Level 5 (year 2) and Level 6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Reassessment by repeat is not permitted and a student will exit the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Level 7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Reassessment by repeat is not permitted and the Programme Assessment Board will terminate the student’s registration on the MPharm Programme.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Compensation: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Compensation is not permitted.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Trailing:</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Trailing assessment is not permitted. Students cannot progress from one level to another while trailing assessments of a 30 credit or zero credit module to the next level.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Restrictions on assessment attempts: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Students must pass all elements of the Academic and Professional Skills Portfolio module at levels 5 (year 1), 5 (year 2), 6 and 7. The pass mark for the Calculation Test and the OSCE assessments will be standard set. A maximum of two attempts will be permitted for the Calculations Test assessment. A maximum of two attempts will be permitted for the OSCE assessment.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For the OSCE assessment, competence is being assessed within a specified time and therefore no extra time for each station will be permitted, although other reasonable adjustments, e.g., large font papers, coloured filters, etc could be provided.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This approval would be for one further academic year, until the end of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science-based pharmacy education, with a strong foundation in cell biology, human physiology, pathological microorganisms, and the formulation of pharmaceutical dosage forms, including sustainable practices to equip students with the knowledge and skills to practise pharmacy underpinned by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responsible practitioners who are reflective, ethical, safe, sustainable, and inclusive.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uphold the expected professional attributes and standards including safeguarding, confidentiality, and sustainable practices.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to prescribe using evidence-based frameworks and manage prescribing risks.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collaborative professionals with strong communication and teamwork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Nurture leadership and management with a focus on resilience and flexibility.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 confidence in consultations and effective communication for holistic patient care.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critical thinking, problem-solving, and decision-making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students’ ability to appraise and synthesise evidence for decision-making.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Cultivate research, technology, and quality improvement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Offer experiential and simulated learning in diagnosis, prescribing, and patient care, enabling students to apply theoretical principles in diagnosing disease and understanding pathophysiology, supplying and prescribing medicines, monitoring outcomes, and managing medical emergencies.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health and address inequalities, aligned with the United Nations development goals.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Encourage personal responsibility for lifelong learning and professional development, who recognise their limitations, seek support, raise concerns and take appropriate action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and apply appropriate professional skills including knowledge of laws, sustainable approaches, ethics governing the supply of medicines, and effectively interacting with patients as part of a multidisciplinary team to promote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multidisciplinary and inclusive working, effective leadership, professional judgement.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chemical, biological, physical, and mathematical concepts to inform basic drug formulation.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chemical and physical principles to the design and formulation of dosage forms and recognise the importance of key concepts in physiology and microbiology relevant to healthcare.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conduct and report on an independent research project, laboratory activity, an audit or service evaluation including the critique of the available primary and secondary literature related to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diagnostic tests, keep records, appraise data from scientific experiments and clinical trials and interpret pathology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drug development process and possess basic knowledge of pre-formulation, formulation stages, and large-scale production relevant to drugs, biologics and ATMP.</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evidence-based and person-centred decision making in relation to prescribing and/or medicines optimisation, deprescribing, reconciliation and health protection and promotion through simulations and experiential learning.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chemical, biological, physical and mathematical concepts as well as critical appraisal of literature using clinical guidelines and frameworks to inform treatment selection and disease management as part of a holistic decision-making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basic and fundamental concepts underlying drugs' bioavailability and pharmacokinetics in determining drug action and side effects.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Optimise, select and prescribe medications safely and in a cost-effective manner while managing risks and follow up of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available formulations to recommend or prescribe individualised treatment considering efficacy, safety, patient choice and suitability.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underlying principles of anatomy, cell biology, physiology, and pharmacology to better understand disease progression and treatment, while explaining the physiological and practical principles that underpin diagnostic tests used to monitor patient health and the interpretation of results.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and ability to practise within all areas safely, including calculations, supply of medicines and prescribing while incorporating clinical governance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structured and holistic consultations in partnership with patients including taking their full history, performing appropriate clinical assessment, interpreting their results, monitoring, managing health including co-morbidities, safety netting and transfer of care and communicating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main considerations in health promotion and public health and describe key theories in health and how they support the development of public policy, whilst addressing the UN Sustainability Goals and viewing problems from diverse perspectives to find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Conduct effective holistic and inclusive consultations using prescribing attributes and diagnostic skills.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Document and endorse clinical skills and learning achieved through placements and simulated sessions in an e-portfolio that demonstrates their ability to reflect, set goals and take action in relation to their own development and future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the aetiology and treatment of various diseases when dealing with case scenarios.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as available on Canvas.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course contains no optional modules. All modules need to be completed and passed to progress.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MPharm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Pharmacy with Biopharmaceutics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 with Biopharmaceutics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Basic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 Chemistry for Pharmacy and Pharmaceutical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Human Physiology and Infection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PY4150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ind w:left="13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a pass in all 4 modules. </w:t>
      </w:r>
    </w:p>
    <w:p w:rsidR="7A33046F" w:rsidRPr="2030048C" w:rsidP="2030048C">
      <w:pPr>
        <w:ind w:left="13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MPharm (Hons)</w:t>
            </w:r>
            <w:r w:rsidRPr="2030048C">
              <w:rPr>
                <w:rFonts w:ascii="Arial" w:eastAsia="Arial" w:hAnsi="Arial" w:cs="Arial"/>
                <w:b/>
                <w:bCs/>
                <w:lang w:val="en-GB"/>
              </w:rPr>
              <w:t xml:space="preserve"> </w:t>
            </w:r>
            <w:r w:rsidRPr="2030048C">
              <w:rPr>
                <w:rFonts w:ascii="Arial" w:eastAsia="Arial" w:hAnsi="Arial" w:cs="Arial"/>
                <w:b/>
                <w:bCs/>
                <w:lang w:val="en-GB"/>
              </w:rPr>
              <w:t>Pharmacy with Biopharmaceutics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5</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ACADEMIC PORTFOLIO MODULE LEVEL 5</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See Module Descriptor</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Approaches to Pharmaceutical Manufacturing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Cardiorespiratory and Endocrine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PY5041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Clinical Skills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Drug Design, Delivery and Quality Control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Fundamentals of cell and human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Pharmacy Law, Ethics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The Central Nervous System, Gastrointestinal  Tract and Immunology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Wellbeing and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PY5121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ind w:left="13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w:t>
      </w:r>
      <w:r w:rsidRPr="2030048C">
        <w:rPr>
          <w:rStyle w:val="normaltextrun"/>
          <w:rFonts w:ascii="Arial" w:eastAsia="Arial" w:hAnsi="Arial" w:cs="Arial"/>
          <w:color w:val="000000" w:themeColor="text1" w:themeShade="FF" w:themeTint="FF"/>
          <w:sz w:val="24"/>
          <w:szCs w:val="24"/>
        </w:rPr>
        <w:t xml:space="preserve"> to level 5 (Year 2) requires a pass in all 6 modules </w:t>
      </w:r>
    </w:p>
    <w:p w:rsidR="3891A81D" w:rsidRPr="2030048C" w:rsidP="2030048C">
      <w:pPr>
        <w:ind w:left="13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w:t>
      </w:r>
    </w:p>
    <w:p w:rsidR="3891A81D" w:rsidRPr="2030048C" w:rsidP="2030048C">
      <w:pPr>
        <w:ind w:left="135"/>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a pass in all 5 modules from level 5 (year 2)</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 with Biopharmaceutics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ACADEMIC &amp; PROFESSIONAL SKILLS PORTFOLIO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Skills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Endocrine, The Eye, Reproduction and Inflammation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Infection, Immunology, Haematology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Neurology, Mental Health and Cardiovascular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PY6151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7 requires a pass in all modules at level 6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60 credits at level 6 are eligible for the award of Bachelor of Science (Ordinary Degree) .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Bachelor of Science (Hons) .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MPharm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Pharmacy with Biopharmaceutics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AND PROFESSIONAL SKILLS PORTFOLIO MODULE LEVEL 7</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Clinical skills and Leadership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and Holistic Therapeutics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PY7031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To be awarded the MPharm requires a pass in all Level 7 modules</w:t>
      </w:r>
    </w:p>
    <w:p w:rsidR="22C556D0"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fail to meet the MPharm assessment requirements at this point but have successfully completed 120 credits at Level 7 under the University’s Undergraduate Regulations (UR) are eligible for the award of MPharmSci.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who fail to meet the MPharm pass requirements and fail to achieve 120 level 7 credits under undergraduate regulations will be awarded the highest exit award available to them.</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Pharmacy with Biopharmaceutics course uses a variety of teaching and learning methods designed to support students’ development and achievement of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Aligned with the General Pharmaceutical Council (GPhC) Standards of Initial Education and Training for pharmacists, the course combines theory and practice, ensuring students gain essential pharmacy knowledge, clinical skills, and professionalism.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are delivered through a combination of scheduled activities and guided independent study. Scheduled Learning and Teaching includes the following, and the format for each module is set out in the module specification which include laboratory sessions, lectures, seminars, tutorials, workshops, simulations and 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is committed to addressing at least two United Nations Sustainable Development Goals (UN SDGs), ensuring students are empowered with the knowledge and skills to tackle global health challenges. Sustainability and inclusivity are embedded throughout the curriculum, enabling students to address issues such as health inequalities and promoting wellbeing for all.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embeds synoptic assessments at each level to integrate knowledge from multiple modules. These assessments, such as OSCEs, calculation tests, and synoptic exams, ensure students demonstrate safe prescribing and person-centred care. An e-portfolio, required at each level, records competencies gained through placements and reflective learning, essential for progression and graduation.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personalised academic and pastoral support throughout their journey at Kingston with regular meetings throughout the year. Personal tutors help develop students’ ability to be self-reliant and self-reflective by fostering a close and engaged academic relationship with students.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university placement tutor to ensure students understand how to prepare for placements and what needs to be completed during - placements.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designated placement supervisor on site to ensure that students have guidance and support during the placement and related activities.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year including a session to describe and explain progression through the course.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giving all students the opportunity to feedback via course representatives.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Academic Success Centre that provides academic skills support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 Mental health and disability team that offers drop-in appointments and online support guide from the Student Health and Wellbeing service.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Kingston Students’ Union </w:t>
      </w:r>
    </w:p>
    <w:p w:rsidRPr="2030048C" w:rsidP="2030048C">
      <w:pPr>
        <w:numPr>
          <w:ilvl w:val="0"/>
          <w:numId w:val="28"/>
        </w:numPr>
        <w:ind w:left="720" w:hanging="360"/>
        <w:jc w:val="left"/>
        <w:rPr>
          <w:rFonts w:ascii="Arial" w:eastAsia="Arial" w:hAnsi="Arial" w:cs="Arial"/>
          <w:sz w:val="24"/>
          <w:szCs w:val="24"/>
          <w:lang w:val="en-US" w:eastAsia="en-US"/>
        </w:rPr>
      </w:pPr>
      <w:r w:rsidRPr="2030048C">
        <w:rPr>
          <w:rFonts w:ascii="Arial" w:eastAsia="Arial" w:hAnsi="Arial" w:cs="Arial"/>
          <w:sz w:val="24"/>
          <w:szCs w:val="24"/>
          <w:lang w:val="en-US" w:eastAsia="en-US"/>
        </w:rPr>
        <w:t>Careers and Employability Service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join the Royal Pharmaceutical Society (RPS) as a student member which is free and gives them access to a wide range of resources.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KUPSA (Kingston University Pharmacy Students’ Association), offers wellbeing support, social events and professional development opportunities to fellow students.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BPSA (British Pharmaceutical Students’ Association), the official student body of the Royal Pharmaceutical Society, offers free full membership to undergraduates and first year graduates students. BPSA members are also members of the European Pharmaceutical Students’ Association (EPSA) and International Pharmaceutical Students’ Federation (IPSF).  Students can get involved in the profession, attend national and international conferences.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NAVIGATE, EXPLORE and APPLY workshops to support students in their learning.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New simulation units and placements encapsulating experiential learning.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E-learning packages such as SCRIPT and MyDispense to increase accessibility.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Students are encouraged to use LinkedIn Learning for personal development.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 </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Continuous Enhancement Process (KCEP) </w:t>
      </w:r>
    </w:p>
    <w:p w:rsidR="3D0EBCB8"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GPhC reaccreditation on a regular basis including interim practice visits. </w:t>
      </w:r>
    </w:p>
    <w:p w:rsidR="3D0EBCB8"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Stakeholder meetings to inform the design and ongoing developments of the programme (Advisory Board) </w:t>
      </w:r>
    </w:p>
    <w:p w:rsidR="3D0EBCB8"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Quality assurance of placement providers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The General Pharmaceutical Council (GPhC):  </w:t>
      </w:r>
    </w:p>
    <w:p w:rsidRPr="2030048C" w:rsidP="2030048C">
      <w:pPr>
        <w:rPr>
          <w:rFonts w:ascii="Arial" w:eastAsia="Arial" w:hAnsi="Arial" w:cs="Arial"/>
          <w:sz w:val="24"/>
          <w:szCs w:val="24"/>
        </w:rPr>
      </w:pPr>
      <w:hyperlink r:id="rId11" w:tgtFrame="_blank" w:history="1">
        <w:r w:rsidRPr="2030048C">
          <w:rPr>
            <w:rFonts w:ascii="Arial" w:eastAsia="Arial" w:hAnsi="Arial" w:cs="Arial"/>
            <w:sz w:val="24"/>
            <w:szCs w:val="24"/>
          </w:rPr>
          <w:t>https://www.pharmacyregulation.org/</w:t>
        </w:r>
      </w:hyperlink>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Pharmacists’ initial education and training of pharmacists’ standards: </w:t>
      </w:r>
    </w:p>
    <w:p w:rsidRPr="2030048C" w:rsidP="2030048C">
      <w:pPr>
        <w:rPr>
          <w:rFonts w:ascii="Arial" w:eastAsia="Arial" w:hAnsi="Arial" w:cs="Arial"/>
          <w:sz w:val="24"/>
          <w:szCs w:val="24"/>
        </w:rPr>
      </w:pPr>
      <w:hyperlink r:id="rId12" w:tgtFrame="_blank" w:history="1">
        <w:r w:rsidRPr="2030048C">
          <w:rPr>
            <w:rFonts w:ascii="Arial" w:eastAsia="Arial" w:hAnsi="Arial" w:cs="Arial"/>
            <w:sz w:val="24"/>
            <w:szCs w:val="24"/>
          </w:rPr>
          <w:t>https://www.pharmacyregulation.org/initial-training</w:t>
        </w:r>
      </w:hyperlink>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683"/>
        <w:gridCol w:w="142"/>
        <w:gridCol w:w="1"/>
        <w:gridCol w:w="355"/>
        <w:gridCol w:w="1"/>
        <w:gridCol w:w="355"/>
        <w:gridCol w:w="1"/>
        <w:gridCol w:w="355"/>
        <w:gridCol w:w="1"/>
        <w:gridCol w:w="354"/>
        <w:gridCol w:w="1"/>
        <w:gridCol w:w="1"/>
        <w:gridCol w:w="355"/>
        <w:gridCol w:w="1"/>
        <w:gridCol w:w="355"/>
        <w:gridCol w:w="1"/>
        <w:gridCol w:w="355"/>
        <w:gridCol w:w="1"/>
        <w:gridCol w:w="355"/>
        <w:gridCol w:w="1"/>
        <w:gridCol w:w="355"/>
        <w:gridCol w:w="1"/>
        <w:gridCol w:w="355"/>
        <w:gridCol w:w="1"/>
        <w:gridCol w:w="355"/>
        <w:gridCol w:w="1"/>
        <w:gridCol w:w="355"/>
        <w:gridCol w:w="1"/>
        <w:gridCol w:w="355"/>
        <w:gridCol w:w="1"/>
        <w:gridCol w:w="353"/>
        <w:gridCol w:w="2"/>
        <w:gridCol w:w="1"/>
        <w:gridCol w:w="355"/>
        <w:gridCol w:w="1"/>
        <w:gridCol w:w="355"/>
        <w:gridCol w:w="1"/>
        <w:gridCol w:w="355"/>
        <w:gridCol w:w="1"/>
        <w:gridCol w:w="355"/>
        <w:gridCol w:w="1"/>
        <w:gridCol w:w="352"/>
        <w:gridCol w:w="3"/>
        <w:gridCol w:w="1"/>
        <w:gridCol w:w="355"/>
        <w:gridCol w:w="1"/>
        <w:gridCol w:w="355"/>
        <w:gridCol w:w="1"/>
        <w:gridCol w:w="355"/>
        <w:gridCol w:w="1"/>
        <w:gridCol w:w="35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2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PY4160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PY4130</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PY5111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PY5051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PY5041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PY6151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PY6021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PY6031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PY7021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pharmacyregulation.org/initial-training"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pharmacyregulation.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B415E326-741F-4A73-989F-C5AADD763A9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