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01/05/2026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Health and Well 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Health and Wellbeing (student passes all credit bearing modules- 270 credits, but fails 0 credit modules required for top award)</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in Health and Wellbeing</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PFNAD1NAD20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B743 MSc/Adult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first degree at 2:2 or above</w:t>
            </w:r>
            <w:r w:rsidRPr="2030048C">
              <w:rPr>
                <w:rStyle w:val="normaltextrun"/>
                <w:rFonts w:ascii="Arial" w:eastAsia="Arial" w:hAnsi="Arial" w:cs="Arial"/>
                <w:b w:val="0"/>
                <w:bCs w:val="0"/>
                <w:color w:val="000000"/>
                <w:sz w:val="24"/>
                <w:szCs w:val="24"/>
                <w:u w:val="single"/>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completed in the last five years.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At least five GCSEs at grade 4 or above (or grade C or above for GCSEs taken before 2017), including English language and maths (a science subject is also preferred), or equivalent qualifications, together with evidence of academic study, ideally within the last five years.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of 650 hours of health or social care related experience undertaken in the 12 months prior to your application. Applicants will be asked to complete an RPL (Recognition of Prior Learning) claim form to demonstrate the achievement of 650 hours of recent experience. Successful achievement of this form, along with a testimony, is a condition for entry to the programme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adult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It is an NMC requirement that no compensation is allowed and a variant request will be submitted for the new course in line with the existing variant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Adult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Foster in students the values and understanding of collaborative working with people who use services, their families and carers and health and social care professionals, to achieve optimum individualised person-centred care</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adult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adult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on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5"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critical understanding of nursing knowledge to underpin practice and enables the student to provide reasoned and reflective explanations of relevant issues. The concept of digital healthcare is introduced, and the student's digital skills are further developed by discussion of the role of technology in the organisation and delivery of healthcare. Critical reasoning skills and theoretical underpinning are developed through the first field specific module. Year 2 further develops the student's critical understanding of their filed of practice and them for their role as a registrant. There is a focus on working collaboratively, leading care and teaching and learning in practice. Developing the skills and knowledge required for managing complex care are also integrated into this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1"/>
              </w:numPr>
              <w:ind w:left="720" w:hanging="360"/>
              <w:jc w:val="left"/>
              <w:rPr>
                <w:rFonts w:ascii="Arial" w:eastAsia="Arial" w:hAnsi="Arial" w:cs="Arial"/>
                <w:sz w:val="24"/>
                <w:szCs w:val="24"/>
              </w:rPr>
            </w:pP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2"/>
              </w:numPr>
              <w:ind w:left="720" w:hanging="360"/>
              <w:jc w:val="left"/>
              <w:rPr>
                <w:rFonts w:ascii="Arial" w:eastAsia="Arial" w:hAnsi="Arial" w:cs="Arial"/>
                <w:sz w:val="24"/>
                <w:szCs w:val="24"/>
              </w:rPr>
            </w:pP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8" w:history="1">
              <w:r w:rsidRPr="2030048C">
                <w:rPr>
                  <w:rFonts w:ascii="Arial" w:eastAsia="Arial" w:hAnsi="Arial" w:cs="Arial"/>
                  <w:sz w:val="22"/>
                  <w:szCs w:val="22"/>
                </w:rPr>
                <w:t>https://www.e-lfh.org.uk/</w:t>
              </w:r>
            </w:hyperlink>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19" w:history="1">
              <w:r w:rsidRPr="2030048C">
                <w:rPr>
                  <w:rFonts w:ascii="Arial" w:eastAsia="Arial" w:hAnsi="Arial" w:cs="Arial"/>
                  <w:sz w:val="22"/>
                  <w:szCs w:val="22"/>
                </w:rPr>
                <w:t>https://hstalks.com/biosci/</w:t>
              </w:r>
            </w:hyperlink>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0"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1"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2"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3"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5962650" cy="33528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4"/>
                    <a:stretch>
                      <a:fillRect/>
                    </a:stretch>
                  </pic:blipFill>
                  <pic:spPr>
                    <a:xfrm>
                      <a:off x="0" y="0"/>
                      <a:ext cx="5962650" cy="3352800"/>
                    </a:xfrm>
                    <a:prstGeom prst="rect">
                      <a:avLst/>
                    </a:prstGeom>
                  </pic:spPr>
                </pic:pic>
              </a:graphicData>
            </a:graphic>
          </wp:inline>
        </w:drawing>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8"/>
        <w:gridCol w:w="248"/>
        <w:gridCol w:w="1"/>
        <w:gridCol w:w="627"/>
        <w:gridCol w:w="1"/>
        <w:gridCol w:w="627"/>
        <w:gridCol w:w="1"/>
        <w:gridCol w:w="627"/>
        <w:gridCol w:w="1"/>
        <w:gridCol w:w="627"/>
        <w:gridCol w:w="1"/>
        <w:gridCol w:w="627"/>
        <w:gridCol w:w="1"/>
        <w:gridCol w:w="627"/>
        <w:gridCol w:w="1"/>
        <w:gridCol w:w="636"/>
        <w:gridCol w:w="1"/>
        <w:gridCol w:w="636"/>
        <w:gridCol w:w="1"/>
        <w:gridCol w:w="636"/>
        <w:gridCol w:w="1"/>
        <w:gridCol w:w="636"/>
        <w:gridCol w:w="1"/>
        <w:gridCol w:w="627"/>
        <w:gridCol w:w="1"/>
        <w:gridCol w:w="6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lfh.org.uk/" TargetMode="External"/><Relationship Id="rId26" Type="http://schemas.openxmlformats.org/officeDocument/2006/relationships/numbering" Target="numbering.xml"/><Relationship Id="rId8" Type="http://schemas.openxmlformats.org/officeDocument/2006/relationships/image" Target="media/image1.png"/><Relationship Id="rId21" Type="http://schemas.openxmlformats.org/officeDocument/2006/relationships/hyperlink" Target="https://plplg.uk/pan-london-epad/"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kingstonuniversity.sharepoint.com/sites/staffspace/dep/lls/issupportingyourteaching/Pages/readinglists.aspx" TargetMode="External"/><Relationship Id="rId25"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www.hee.nhs.uk/our-work/technology-enhanced-learning" TargetMode="External"/><Relationship Id="rId2" Type="http://schemas.openxmlformats.org/officeDocument/2006/relationships/webSettings" Target="webSettings.xml"/><Relationship Id="rId20" Type="http://schemas.openxmlformats.org/officeDocument/2006/relationships/hyperlink" Target="https://www.qni.org.uk/" TargetMode="Externa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hyperlink" Target="https://www.england.nhs.uk/wp-content/uploads/2023/06/nhs-long-term-workforce-plan-v1.2.pdf" TargetMode="External"/><Relationship Id="rId23" Type="http://schemas.openxmlformats.org/officeDocument/2006/relationships/hyperlink" Target="file:///C:/Users/KU57258/AppData/Local/Microsoft/Windows/INetCache/Content.Outlook/AUYG671E/HEE%202020" TargetMode="Externa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hstalks.com/biosci/" TargetMode="External"/><Relationship Id="rId14" Type="http://schemas.openxmlformats.org/officeDocument/2006/relationships/image" Target="media/image2.png"/><Relationship Id="rId22" Type="http://schemas.openxmlformats.org/officeDocument/2006/relationships/hyperlink" Target="https://abc-ld.org/event/abc-with-students/" TargetMode="External"/><Relationship Id="rId27"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2AFDF33-6DCC-4926-8F25-F3DDF05A2FA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