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MChem</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with Medicinal Chemistry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MChem</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with Medicinal Chemistry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Chemistry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Chemistry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Chemistry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F104</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MChem</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Chemistry with Medicinal Chemistry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MChem</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Chemistry with Medicinal Chemistry (International Exchange)</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9</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 112-128, depending on qualifications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From A levels: A2 Chemistry minimum grade C and one other science subject (second science can be Biology, Physics or Maths) General Studies and Critical Thinking not accepted.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BTEC National: Diploma/Extended Diploma in Applied Science (Chemistry) only must have merits in the following units: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Unit 1: "Principles and Applications in Science 1"</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Unit 5: "Principles and Applications in Science 2"</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Unit 13: "Applications of Inorganic Chemistry"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Unit 14: "Applications of Organic Chemistry"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T-Level: Merit in T-Level Science: including a minimum of a B in the Core component and a merit in the Occupational Specialism which must be either in laboratory sciences or metrology sciences.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Access Diploma: We will consider a range of alternative Level 3 qualifications such as an Access Course in a relevant Science subject which has been passed with 112 UCAS points including 18 level 3 credits in Chemistry with a minimum 9 level 3 credits at Distinction and 9 Level credits at Merit.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Plus:</w:t>
                  </w:r>
                  <w:r w:rsidRPr="2030048C">
                    <w:rPr>
                      <w:rStyle w:val="normaltextrun"/>
                      <w:rFonts w:ascii="Arial" w:eastAsia="Arial" w:hAnsi="Arial" w:cs="Arial"/>
                      <w:b w:val="0"/>
                      <w:bCs w:val="0"/>
                      <w:i/>
                      <w:iCs/>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GCSE Candidates are normally required to hold five GCSE subjects grades 4 or above including Mathematics and English Language (or A-C under the previous GCSE grading).</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 minimum IELTS score of 6.0 with no element below 5.5, TOEFL iBT 80 (with minimum scores R=18, L=17, S=20, W=17)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Entry is normally at Level 4 with A-level or equivalent qualifications (See section D).  Transfer from a similar course is possible at Level 5 with passes in comparable Level 4 modules – but is at the discretion of the course team.  Intake is normally in September.</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Through our provision of Recognition of Prior Learning, applicants may be able to receive academic credit for previously accumulated credits (for example, 120 credits gained at another institution in topics allied to those taught in this course) where it can be proven as the equivalent in level and outcome to modules / courses offered.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widowControl w:val="0"/>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There are no variants</w:t>
            </w:r>
            <w:r w:rsidRPr="158602C4">
              <w:rPr>
                <w:rStyle w:val="normaltextrun"/>
                <w:rFonts w:ascii="Arial" w:eastAsia="Arial" w:hAnsi="Arial" w:cs="Arial"/>
                <w:b w:val="0"/>
                <w:bCs w:val="0"/>
                <w:color w:val="000000" w:themeColor="text1" w:themeShade="FF" w:themeTint="FF"/>
                <w:sz w:val="22"/>
                <w:szCs w:val="22"/>
              </w:rPr>
              <w:t>.</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field taken by MChem Chemistry with Medicinal Chemistry students are: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enable students to specialize in the field of medicinal chemistry while providing students with a broad knowledge of chemistry including applied aspects, plus depth in the main branches of the subject (organic, inorganic, physical and analytical chemistry)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develop subject related practical skills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prepare students for graduate employment (in a medicinal chemistry related role or otherwise) or further study (either taught or by research) by developing their intellectual, problem solving, analytical and key (transferable) skills.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enable students to develop research skills and methodologies, including project and time management, modern literature searching techniques, critical analysis of data and report presentation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provide students with the opportunity to study topics within medicinal chemistry that will prepare them for future roles as professional medicinal chemists in both greater breadth and depth than via a Chemistry BSc course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skills and methodologies required for undertaking an original research programme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work and study in an independent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complex instrumentation and understand the technical basis for it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numerical and computational skills necessary for working in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Propose, carry out and report the results of an individual research project, including reviewing and evaluating the work of others in a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 an extended programme of laboratory work and carry out a safety assessment for it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Applied areas of chemistry (environmental, medicinal, materials and industrial), especially those that are related to the chemical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primary and secondary sources of information, where necessary using multiple sources of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Report on and draw conclusions from the results of laboratory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Experimental &amp; analytical chemistry, including aspects of separation science and spectroscopy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both in aspects of chemistry and the supporting numerical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preparative and analytical (both qualitative and quantitative) laboratory work in the main branches of chemistry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three core branches of chemistry (inorganic, organic &amp; physical) at an advanced level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 excepting the sandwich year placement which comprises a single 120 credit module and Level 7, which consists of three modules, two of which are worth 30 credit points and the project module that is worth 60 credit points. Typically a student must complete 120 credits at each level.  All students will be provided with the University regulations.  Full details of each module will be provided in module descriptors.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as soon as these circumstances arise by email.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MChem</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with Medicinal Chemistry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MChem</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with Medicinal Chemistry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Skills for Molecular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 Inorganic and Environmental Chemistry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 Organic and Physical Chemistry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Spectroscopy and Experimental Techniques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Progression to level 5 requires passes in CH4001, CH4002 and CH4003. The outstanding 30 credits from level 4 can be trailed into level 5 and must be passed before progression to level 6. In addition, students must complete at least 80% of the practical sessions.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Chemistry.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MChem</w:t>
            </w:r>
            <w:r w:rsidRPr="2030048C">
              <w:rPr>
                <w:rFonts w:ascii="Arial" w:eastAsia="Arial" w:hAnsi="Arial" w:cs="Arial"/>
                <w:b/>
                <w:bCs/>
                <w:lang w:val="en-GB"/>
              </w:rPr>
              <w:t xml:space="preserve"> </w:t>
            </w:r>
            <w:r w:rsidRPr="2030048C">
              <w:rPr>
                <w:rFonts w:ascii="Arial" w:eastAsia="Arial" w:hAnsi="Arial" w:cs="Arial"/>
                <w:b/>
                <w:bCs/>
                <w:lang w:val="en-GB"/>
              </w:rPr>
              <w:t>with Medicinal Chemistry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Analytical and Experimental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Inorganic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ORGANIC AND MEDICINAL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Physical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Progression to level 6 requires a pass in CH5004 if the option module CH6007 is chosen.  The outstanding 30 credits from level 5 can be trailed into level 6 and must be passed before consideration for an award.  In addition students must complete at least 80% of the practical sessions.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Chemistry.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MChem</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with Medicinal Chemistry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Analytical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Materials and Industrial Chemistry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Inorganic Chemistry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Natural Product Chemistry and Sustainable Synthesis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8</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Physical Chemistry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6934EB1" w:rsidP="2030048C" w14:paraId="5E579705"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MChem</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with Medicinal Chemistry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Discovery and Development of Pharmaceuticals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Medicinal Chemistry in the Pharmaceutical Industry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CH7160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credits at each level are eligible for the award of MChem</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MChem</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Chemistry with Medicinal Chemistry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MChem</w:t>
            </w:r>
            <w:r w:rsidRPr="2030048C">
              <w:rPr>
                <w:rFonts w:ascii="Arial" w:eastAsia="Arial" w:hAnsi="Arial" w:cs="Arial"/>
                <w:b/>
                <w:bCs/>
                <w:lang w:val="en-GB"/>
              </w:rPr>
              <w:t xml:space="preserve"> </w:t>
            </w:r>
            <w:r w:rsidRPr="2030048C">
              <w:rPr>
                <w:rFonts w:ascii="Arial" w:eastAsia="Arial" w:hAnsi="Arial" w:cs="Arial"/>
                <w:b/>
                <w:bCs/>
                <w:lang w:val="en-GB"/>
              </w:rPr>
              <w:t>Chemistry with Medicinal Chemistry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Analytical and Experimental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Inorganic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ORGANIC AND MEDICINAL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Physical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MChem</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Chemistry with Medicinal Chemistry with Professional Placement</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Inorganic Chemistry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Organic and Natural Product Chemistry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Physical Chemistry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Analytical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CH6007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Materials and Industrial Chemistry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Drug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CH6008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MChem</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Chemistry with Medicinal Chemistry (International Exchange)</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Knowledge and understanding of the field is developed from level to level.  Level 4 consolidates and succeeds A level Chemistry or equivalent and provides a core understanding of the main organic, inorganic and physical branches of the subject. It also furthers knowledge of laboratory techniques and analytical methods and provides breadth through introduction to environmental chemistry.  Essential mathematical and computing skills are also emphasised. Level 5 extends discussion and comprehension of organic, inorganic, physical and analytical chemistry and also introduces aspects of medicinal chemistry. Level 6 of the programme allows students to pursue these same aspects to a higher level, while allowing them to gain familiarity with more applied areas of the field, for example looking at aspects of modern materials and industrial chemistry, and also enabling students to start to develop independent research skills.  At level 7, the emphasis is on medicinal chemistry, which includes a significant research project in a specific area of the student’s choice. Here, they are able to carry out individual investigations (either laboratory or literature based) from initial planning to final report. Research informs much of the teaching on the course and this is particularly the case in the final year. Project supervisors frequently offer projects related to their own areas of expertise and active research, with final year project students making a contribution to these.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on this course is multi-faceted; there is a strong emphasis on student-centred learning such as project-based, enquiry-led and problem-based approaches in order to improve inclusivity within a curriculum that can be perceived as abstract and thus not egalitarian. As example of this inclusive approach is demonstrated by the group problem-based learning project where students are able to explore and investigate a major atmospheric environmental problem. The use of group work to facilitate participation is a common thread that runs through the whole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From level to level, students make progressively more use of primary and research-based sources of information. They develop skills to analyse and appraise original sources, assemble data from various sources, solve complex problems. Students are expected to become more independent in their learning as the course progresses and are supported in this by two research projects, where learner autonomy is championed at level 6 and the skills developed then put into place with a more in-depth practical project at level 7.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 feature of this field is the range of practical work that is undertaken using advanced equipment and instrumentation.  Students become familiar (by direct hands-on experience) with infrared, ultraviolet/visible and nuclear magnetic resonance spectroscopy, mass spectrometry, various forms of chromatography and some of the so-called hyphenated techniques.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Throughout the field, emphasis is placed on group work skills, written and oral communication and presentation skills, data handling and analysis skills, a range of ICT skills and independent learning skills.  This provides the basis for students to enhance their personal objectives after graduation, whether these relate to further research or training, or to careers in the pharmaceutical industry, commerce or otherwise.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skills developed during the study of the field are assessed within these various types of assessment.  For example: the use of ICT is a normal expectation in the preparation of written work, reports etc.; data handling is inherent in many of the activities; assessments are carried out by groups and individuals, and greater self-reliance is needed from level to level. Assessment is tracked via a calendar to spread workload and to avoid bunching. </w:t>
      </w:r>
    </w:p>
    <w:p w:rsidRPr="2030048C" w:rsidP="2030048C">
      <w:pPr>
        <w:rPr>
          <w:rFonts w:ascii="Arial" w:eastAsia="Arial" w:hAnsi="Arial" w:cs="Arial"/>
          <w:sz w:val="24"/>
          <w:szCs w:val="24"/>
        </w:rPr>
      </w:pPr>
      <w:r w:rsidRPr="2030048C">
        <w:rPr>
          <w:rFonts w:ascii="Arial" w:eastAsia="Arial" w:hAnsi="Arial" w:cs="Arial"/>
          <w:sz w:val="24"/>
          <w:szCs w:val="24"/>
        </w:rPr>
        <w:t>E-Technology plays an important role in enhancing learning and teaching throughout the chemistry course. Canvas is a virtual learning environment (VLE) that allows students to access lecture notes, assessments, screencasts, practical videos and links to Open Educational Resources (OERs) outside of the class room. Classroom technologies such as MS Teams allow the electronic recording of work done on an electronic whiteboard in the classroom. The use of Turnitin allows students to recognise the dangers of plagiarism and Grademark and other electronic marking systems are used by staff to give students quicker and clearer feedback. A large range of modules make use on on-line assessment tools to provide formative assessment with rapid feedback to enable students to prepare better for their subsequent summative assessments. E-technology is also used in the electronic marking of some practical work and in addition, it provides a forum for peer learning through the development and use of discussion boards and can also support blended learning in, for example, the delivery of talks by external speakers through online sessions.  </w:t>
      </w:r>
    </w:p>
    <w:p w:rsidRPr="2030048C" w:rsidP="2030048C">
      <w:pPr>
        <w:rPr>
          <w:rFonts w:ascii="Arial" w:eastAsia="Arial" w:hAnsi="Arial" w:cs="Arial"/>
          <w:sz w:val="24"/>
          <w:szCs w:val="24"/>
        </w:rPr>
      </w:pPr>
      <w:r w:rsidRPr="2030048C">
        <w:rPr>
          <w:rFonts w:ascii="Arial" w:eastAsia="Arial" w:hAnsi="Arial" w:cs="Arial"/>
          <w:sz w:val="24"/>
          <w:szCs w:val="24"/>
        </w:rPr>
        <w:t>The assessments are a mixture of coursework and of end-of-module exams. Key pieces of coursework will be of a formative nature, allowing students to benefit and learn from feedback given on a piece of work, before completion of a similar, though summative assessment.  Each module carries a final grade, which is made up of summative marks for course work and end of module assessments.  The contribution of the individual elements of assessment to the module total and the requirements to pass each module are detailed in individual module guides. </w:t>
      </w:r>
    </w:p>
    <w:p w:rsidRPr="2030048C" w:rsidP="2030048C">
      <w:pPr>
        <w:rPr>
          <w:rFonts w:ascii="Arial" w:eastAsia="Arial" w:hAnsi="Arial" w:cs="Arial"/>
          <w:sz w:val="24"/>
          <w:szCs w:val="24"/>
        </w:rPr>
      </w:pPr>
      <w:r w:rsidRPr="2030048C">
        <w:rPr>
          <w:rFonts w:ascii="Arial" w:eastAsia="Arial" w:hAnsi="Arial" w:cs="Arial"/>
          <w:sz w:val="24"/>
          <w:szCs w:val="24"/>
        </w:rPr>
        <w:t>Many modules in the course have an assessment component comprised of a collection of smaller coursework elements such as practical forms, laboratory forms or data collected in class and small problem assignments.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 Many laboratory proforma can be completed during the laboratory sessions themselves using the computer facilities available, and immediate feedback obtained via automated electronic worksheets. </w:t>
      </w:r>
    </w:p>
    <w:p w:rsidRPr="2030048C" w:rsidP="2030048C">
      <w:pPr>
        <w:rPr>
          <w:rFonts w:ascii="Arial" w:eastAsia="Arial" w:hAnsi="Arial" w:cs="Arial"/>
          <w:sz w:val="24"/>
          <w:szCs w:val="24"/>
        </w:rPr>
      </w:pPr>
      <w:r w:rsidRPr="2030048C">
        <w:rPr>
          <w:rFonts w:ascii="Arial" w:eastAsia="Arial" w:hAnsi="Arial" w:cs="Arial"/>
          <w:sz w:val="24"/>
          <w:szCs w:val="24"/>
        </w:rPr>
        <w:t>All students are allocated a personal tutor during the induction week preceding the first year of the course. They are encouraged to make contact with this staff member, who will remain an important figure in their four years at Kingston University, during the induction week – perhaps informally at the Freshers’ Party, or by appointment later in the week before teaching starts. Having regular contact with a staff member who is able to get to know them personally is of great advantage to the student. Not only does it give them someone to consult for advice on academic and sometime non-academic matters, but it provides them with someone who is well informed to write a reference for them, either for placements or summer internships, or at towards the end of their course as they embark on the next stages of their careers. </w:t>
      </w:r>
    </w:p>
    <w:p w:rsidRPr="2030048C" w:rsidP="2030048C">
      <w:pPr>
        <w:rPr>
          <w:rFonts w:ascii="Arial" w:eastAsia="Arial" w:hAnsi="Arial" w:cs="Arial"/>
          <w:sz w:val="24"/>
          <w:szCs w:val="24"/>
        </w:rPr>
      </w:pPr>
      <w:r w:rsidRPr="2030048C">
        <w:rPr>
          <w:rFonts w:ascii="Arial" w:eastAsia="Arial" w:hAnsi="Arial" w:cs="Arial"/>
          <w:sz w:val="24"/>
          <w:szCs w:val="24"/>
        </w:rPr>
        <w:t>In the first year, in addition to subject-specific material, key academic and professional skills are introduced, such as critical thinking, literature searching and the production of career development documentation (such as a CV and cover letter). This is followed up in the second semester with a review of academic progress. In the second year, attention turns more to employability, including an emphasis on subject-specific employability and reflection on soft skills. These skills are introduced by a brief re-induction session preceding the start of the second year and are assisted by employability coordinators from the Careers and Employability Service. Prior to the penultimate and final years, re-induction sessions focus more on the project work to be carried out each year, while contact with personal tutors again focusses on employability and preparation for life as a medicinal chemistry graduate, after completion of the course.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p"/>
        <w:widowControl w:val="0"/>
        <w:spacing w:before="0" w:after="0"/>
        <w:ind w:left="0" w:right="0"/>
        <w:rPr>
          <w:rFonts w:ascii="Arial" w:eastAsia="Arial" w:hAnsi="Arial" w:cs="Arial"/>
          <w:b/>
          <w:bCs/>
          <w:sz w:val="22"/>
          <w:szCs w:val="22"/>
        </w:rPr>
      </w:pPr>
    </w:p>
    <w:p w:rsidRPr="2030048C" w:rsidP="2030048C">
      <w:pPr>
        <w:pStyle w:val="p"/>
        <w:widowControl w:val="0"/>
        <w:spacing w:before="0" w:after="0" w:line="276" w:lineRule="auto"/>
        <w:ind w:left="0" w:right="0"/>
        <w:rPr>
          <w:rFonts w:ascii="Times New Roman" w:eastAsia="Times New Roman" w:hAnsi="Times New Roman" w:cs="Times New Roman"/>
          <w:sz w:val="22"/>
          <w:szCs w:val="22"/>
        </w:rPr>
      </w:pPr>
      <w:r w:rsidRPr="2030048C">
        <w:rPr>
          <w:rFonts w:ascii="Arial" w:eastAsia="Arial" w:hAnsi="Arial" w:cs="Arial"/>
          <w:sz w:val="22"/>
          <w:szCs w:val="22"/>
        </w:rPr>
        <w:t>Students are supported by:</w:t>
      </w:r>
    </w:p>
    <w:p w:rsidRPr="2030048C" w:rsidP="2030048C">
      <w:pPr>
        <w:pStyle w:val="li"/>
        <w:widowControl w:val="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 Course</w:t>
      </w:r>
      <w:r w:rsidRPr="2030048C">
        <w:rPr>
          <w:rFonts w:ascii="Arial" w:eastAsia="Arial" w:hAnsi="Arial" w:cs="Arial"/>
          <w:sz w:val="22"/>
          <w:szCs w:val="22"/>
        </w:rPr>
        <w:t xml:space="preserve"> Leader</w:t>
      </w:r>
      <w:r w:rsidRPr="2030048C">
        <w:rPr>
          <w:rFonts w:ascii="Arial" w:eastAsia="Arial" w:hAnsi="Arial" w:cs="Arial"/>
          <w:sz w:val="22"/>
          <w:szCs w:val="22"/>
        </w:rPr>
        <w:t>, to help students understand the over</w:t>
      </w:r>
      <w:r w:rsidRPr="2030048C">
        <w:rPr>
          <w:rFonts w:ascii="Arial" w:eastAsia="Arial" w:hAnsi="Arial" w:cs="Arial"/>
          <w:sz w:val="22"/>
          <w:szCs w:val="22"/>
        </w:rPr>
        <w:t>all course structure</w:t>
      </w:r>
    </w:p>
    <w:p w:rsidRPr="2030048C" w:rsidP="2030048C">
      <w:pPr>
        <w:pStyle w:val="li"/>
        <w:widowControl w:val="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 Module Leader for each module taken</w:t>
      </w:r>
    </w:p>
    <w:p w:rsidRPr="2030048C" w:rsidP="2030048C">
      <w:pPr>
        <w:pStyle w:val="li"/>
        <w:widowControl w:val="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 Personal Tutor to provide academic and p</w:t>
      </w:r>
      <w:r w:rsidRPr="2030048C">
        <w:rPr>
          <w:rFonts w:ascii="Arial" w:eastAsia="Arial" w:hAnsi="Arial" w:cs="Arial"/>
          <w:sz w:val="22"/>
          <w:szCs w:val="22"/>
        </w:rPr>
        <w:t>ersonal support</w:t>
      </w:r>
    </w:p>
    <w:p w:rsidRPr="2030048C" w:rsidP="2030048C">
      <w:pPr>
        <w:pStyle w:val="li"/>
        <w:widowControl w:val="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 Placements Tutor to give advice on seeking placements and monitoring students while on placement</w:t>
      </w:r>
    </w:p>
    <w:p w:rsidRPr="2030048C" w:rsidP="2030048C">
      <w:pPr>
        <w:pStyle w:val="li"/>
        <w:widowControl w:val="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Technical support to advise students on </w:t>
      </w:r>
      <w:r w:rsidRPr="2030048C">
        <w:rPr>
          <w:rFonts w:ascii="Arial" w:eastAsia="Arial" w:hAnsi="Arial" w:cs="Arial"/>
          <w:sz w:val="22"/>
          <w:szCs w:val="22"/>
        </w:rPr>
        <w:t>IT and the use of software</w:t>
      </w:r>
    </w:p>
    <w:p w:rsidRPr="2030048C" w:rsidP="2030048C">
      <w:pPr>
        <w:pStyle w:val="li"/>
        <w:widowControl w:val="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An induction programme at the s</w:t>
      </w:r>
      <w:r w:rsidRPr="2030048C">
        <w:rPr>
          <w:rFonts w:ascii="Arial" w:eastAsia="Arial" w:hAnsi="Arial" w:cs="Arial"/>
          <w:sz w:val="22"/>
          <w:szCs w:val="22"/>
        </w:rPr>
        <w:t>tart of each new academic session</w:t>
      </w:r>
    </w:p>
    <w:p w:rsidRPr="2030048C" w:rsidP="2030048C">
      <w:pPr>
        <w:pStyle w:val="li"/>
        <w:widowControl w:val="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 Staff S</w:t>
      </w:r>
      <w:r w:rsidRPr="2030048C">
        <w:rPr>
          <w:rFonts w:ascii="Arial" w:eastAsia="Arial" w:hAnsi="Arial" w:cs="Arial"/>
          <w:sz w:val="22"/>
          <w:szCs w:val="22"/>
        </w:rPr>
        <w:t>tudent Consultative Committee</w:t>
      </w:r>
    </w:p>
    <w:p w:rsidRPr="2030048C" w:rsidP="2030048C">
      <w:pPr>
        <w:pStyle w:val="li"/>
        <w:widowControl w:val="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My Kingston</w:t>
      </w:r>
      <w:r w:rsidRPr="2030048C">
        <w:rPr>
          <w:rFonts w:ascii="Arial" w:eastAsia="Arial" w:hAnsi="Arial" w:cs="Arial"/>
          <w:sz w:val="22"/>
          <w:szCs w:val="22"/>
        </w:rPr>
        <w:t>/</w:t>
      </w:r>
      <w:r w:rsidRPr="2030048C">
        <w:rPr>
          <w:rFonts w:ascii="Arial" w:eastAsia="Arial" w:hAnsi="Arial" w:cs="Arial"/>
          <w:sz w:val="22"/>
          <w:szCs w:val="22"/>
        </w:rPr>
        <w:t>Canvas</w:t>
      </w:r>
      <w:r w:rsidRPr="2030048C">
        <w:rPr>
          <w:rFonts w:ascii="Arial" w:eastAsia="Arial" w:hAnsi="Arial" w:cs="Arial"/>
          <w:sz w:val="22"/>
          <w:szCs w:val="22"/>
        </w:rPr>
        <w:t xml:space="preserve"> – an on-line interactive intranet and </w:t>
      </w:r>
      <w:r w:rsidRPr="2030048C">
        <w:rPr>
          <w:rFonts w:ascii="Arial" w:eastAsia="Arial" w:hAnsi="Arial" w:cs="Arial"/>
          <w:sz w:val="22"/>
          <w:szCs w:val="22"/>
        </w:rPr>
        <w:t xml:space="preserve">virtual </w:t>
      </w:r>
      <w:r w:rsidRPr="2030048C">
        <w:rPr>
          <w:rFonts w:ascii="Arial" w:eastAsia="Arial" w:hAnsi="Arial" w:cs="Arial"/>
          <w:sz w:val="22"/>
          <w:szCs w:val="22"/>
        </w:rPr>
        <w:t>learning environment</w:t>
      </w:r>
    </w:p>
    <w:p w:rsidRPr="2030048C" w:rsidP="2030048C">
      <w:pPr>
        <w:pStyle w:val="li"/>
        <w:widowControl w:val="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 support facilities, providing a</w:t>
      </w:r>
      <w:r w:rsidRPr="2030048C">
        <w:rPr>
          <w:rFonts w:ascii="Arial" w:eastAsia="Arial" w:hAnsi="Arial" w:cs="Arial"/>
          <w:sz w:val="22"/>
          <w:szCs w:val="22"/>
        </w:rPr>
        <w:t>dvice on matters such as finance, regulations, legal issue</w:t>
      </w:r>
      <w:r w:rsidRPr="2030048C">
        <w:rPr>
          <w:rFonts w:ascii="Arial" w:eastAsia="Arial" w:hAnsi="Arial" w:cs="Arial"/>
          <w:sz w:val="22"/>
          <w:szCs w:val="22"/>
        </w:rPr>
        <w:t>s, accommodation, personal issues, disabili</w:t>
      </w:r>
      <w:r w:rsidRPr="2030048C">
        <w:rPr>
          <w:rFonts w:ascii="Arial" w:eastAsia="Arial" w:hAnsi="Arial" w:cs="Arial"/>
          <w:sz w:val="22"/>
          <w:szCs w:val="22"/>
        </w:rPr>
        <w:t>ty, international student support.</w:t>
      </w:r>
    </w:p>
    <w:p w:rsidRPr="2030048C" w:rsidP="2030048C">
      <w:pPr>
        <w:pStyle w:val="li"/>
        <w:widowControl w:val="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The Union</w:t>
      </w:r>
      <w:r w:rsidRPr="2030048C">
        <w:rPr>
          <w:rFonts w:ascii="Arial" w:eastAsia="Arial" w:hAnsi="Arial" w:cs="Arial"/>
          <w:sz w:val="22"/>
          <w:szCs w:val="22"/>
        </w:rPr>
        <w:t xml:space="preserve"> of Kingston Students</w:t>
      </w:r>
    </w:p>
    <w:p w:rsidRPr="2030048C" w:rsidP="2030048C">
      <w:pPr>
        <w:pStyle w:val="li"/>
        <w:widowControl w:val="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Careers and Employability Service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widowControl w:val="0"/>
        <w:spacing w:before="0" w:after="0"/>
        <w:ind w:left="0" w:right="0"/>
        <w:rPr>
          <w:rFonts w:ascii="Arial" w:eastAsia="Arial" w:hAnsi="Arial" w:cs="Arial"/>
          <w:sz w:val="22"/>
          <w:szCs w:val="22"/>
        </w:rPr>
      </w:pPr>
    </w:p>
    <w:p w:rsidR="3D0EBCB8" w:rsidRPr="2030048C" w:rsidP="2030048C">
      <w:pPr>
        <w:pStyle w:val="p"/>
        <w:widowControl w:val="0"/>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w:t>
      </w:r>
      <w:r w:rsidRPr="2030048C">
        <w:rPr>
          <w:rFonts w:ascii="Arial" w:eastAsia="Arial" w:hAnsi="Arial" w:cs="Arial"/>
          <w:sz w:val="22"/>
          <w:szCs w:val="22"/>
        </w:rPr>
        <w:t>University has several methods for evaluating and improvin</w:t>
      </w:r>
      <w:r w:rsidRPr="2030048C">
        <w:rPr>
          <w:rFonts w:ascii="Arial" w:eastAsia="Arial" w:hAnsi="Arial" w:cs="Arial"/>
          <w:sz w:val="22"/>
          <w:szCs w:val="22"/>
        </w:rPr>
        <w:t>g the quality and standards of its provisio</w:t>
      </w:r>
      <w:r w:rsidRPr="2030048C">
        <w:rPr>
          <w:rFonts w:ascii="Arial" w:eastAsia="Arial" w:hAnsi="Arial" w:cs="Arial"/>
          <w:sz w:val="22"/>
          <w:szCs w:val="22"/>
        </w:rPr>
        <w:t>n.</w:t>
      </w:r>
      <w:r w:rsidRPr="2030048C">
        <w:rPr>
          <w:rFonts w:ascii="Arial" w:eastAsia="Arial" w:hAnsi="Arial" w:cs="Arial"/>
          <w:sz w:val="22"/>
          <w:szCs w:val="22"/>
        </w:rPr>
        <w:t xml:space="preserve">  </w:t>
      </w:r>
      <w:r w:rsidRPr="2030048C">
        <w:rPr>
          <w:rFonts w:ascii="Arial" w:eastAsia="Arial" w:hAnsi="Arial" w:cs="Arial"/>
          <w:sz w:val="22"/>
          <w:szCs w:val="22"/>
        </w:rPr>
        <w:t>These include:</w:t>
      </w:r>
    </w:p>
    <w:p w:rsidR="3D0EBCB8" w:rsidRPr="2030048C" w:rsidP="2030048C">
      <w:pPr>
        <w:pStyle w:val="li"/>
        <w:widowControl w:val="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External examiners</w:t>
      </w:r>
    </w:p>
    <w:p w:rsidR="3D0EBCB8" w:rsidRPr="2030048C" w:rsidP="2030048C">
      <w:pPr>
        <w:pStyle w:val="li"/>
        <w:widowControl w:val="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Boards of study with student representation</w:t>
      </w:r>
    </w:p>
    <w:p w:rsidR="3D0EBCB8" w:rsidRPr="2030048C" w:rsidP="2030048C">
      <w:pPr>
        <w:pStyle w:val="li"/>
        <w:widowControl w:val="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Annual review and development</w:t>
      </w:r>
    </w:p>
    <w:p w:rsidR="3D0EBCB8" w:rsidRPr="2030048C" w:rsidP="2030048C">
      <w:pPr>
        <w:pStyle w:val="li"/>
        <w:widowControl w:val="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Periodic review undertaken at the subject l</w:t>
      </w:r>
      <w:r w:rsidRPr="2030048C">
        <w:rPr>
          <w:rFonts w:ascii="Arial" w:eastAsia="Arial" w:hAnsi="Arial" w:cs="Arial"/>
          <w:sz w:val="22"/>
          <w:szCs w:val="22"/>
        </w:rPr>
        <w:t>evel</w:t>
      </w:r>
    </w:p>
    <w:p w:rsidR="3D0EBCB8" w:rsidRPr="2030048C" w:rsidP="2030048C">
      <w:pPr>
        <w:pStyle w:val="li"/>
        <w:widowControl w:val="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 evaluation</w:t>
      </w:r>
      <w:r w:rsidRPr="2030048C">
        <w:rPr>
          <w:rFonts w:ascii="Arial" w:eastAsia="Arial" w:hAnsi="Arial" w:cs="Arial"/>
          <w:sz w:val="22"/>
          <w:szCs w:val="22"/>
        </w:rPr>
        <w:t>/ NSS returns</w:t>
      </w:r>
    </w:p>
    <w:p w:rsidR="3D0EBCB8" w:rsidRPr="2030048C" w:rsidP="2030048C">
      <w:pPr>
        <w:pStyle w:val="li"/>
        <w:widowControl w:val="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Moderation policies</w:t>
      </w:r>
    </w:p>
    <w:p w:rsidR="3D0EBCB8" w:rsidRPr="2030048C" w:rsidP="2030048C">
      <w:pPr>
        <w:pStyle w:val="li"/>
        <w:widowControl w:val="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w:t>
      </w:r>
      <w:r w:rsidRPr="2030048C">
        <w:rPr>
          <w:rFonts w:ascii="Arial" w:eastAsia="Arial" w:hAnsi="Arial" w:cs="Arial"/>
          <w:sz w:val="22"/>
          <w:szCs w:val="22"/>
        </w:rPr>
        <w:t>n Industrial Advisory Board</w:t>
      </w:r>
    </w:p>
    <w:p w:rsidR="3D0EBCB8" w:rsidRPr="2030048C" w:rsidP="2030048C">
      <w:pPr>
        <w:pStyle w:val="li"/>
        <w:widowControl w:val="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Staff Appraisal</w:t>
      </w:r>
      <w:r w:rsidRPr="2030048C">
        <w:rPr>
          <w:rFonts w:ascii="Arial" w:eastAsia="Arial" w:hAnsi="Arial" w:cs="Arial"/>
          <w:sz w:val="22"/>
          <w:szCs w:val="22"/>
        </w:rPr>
        <w:t xml:space="preserve"> Scheme</w:t>
      </w:r>
    </w:p>
    <w:p w:rsidR="3D0EBCB8" w:rsidRPr="2030048C" w:rsidP="2030048C">
      <w:pPr>
        <w:pStyle w:val="p"/>
        <w:spacing w:before="0" w:after="0" w:line="276" w:lineRule="auto"/>
        <w:ind w:left="0" w:right="0"/>
        <w:jc w:val="both"/>
        <w:rPr>
          <w:rFonts w:ascii="Arial" w:eastAsia="Arial" w:hAnsi="Arial" w:cs="Arial"/>
          <w:sz w:val="22"/>
          <w:szCs w:val="22"/>
        </w:rPr>
      </w:pP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791"/>
        <w:gridCol w:w="166"/>
        <w:gridCol w:w="425"/>
        <w:gridCol w:w="425"/>
        <w:gridCol w:w="425"/>
        <w:gridCol w:w="424"/>
        <w:gridCol w:w="1"/>
        <w:gridCol w:w="425"/>
        <w:gridCol w:w="425"/>
        <w:gridCol w:w="425"/>
        <w:gridCol w:w="425"/>
        <w:gridCol w:w="405"/>
        <w:gridCol w:w="2"/>
        <w:gridCol w:w="425"/>
        <w:gridCol w:w="425"/>
        <w:gridCol w:w="425"/>
        <w:gridCol w:w="425"/>
        <w:gridCol w:w="425"/>
        <w:gridCol w:w="425"/>
        <w:gridCol w:w="422"/>
        <w:gridCol w:w="3"/>
        <w:gridCol w:w="425"/>
        <w:gridCol w:w="425"/>
        <w:gridCol w:w="42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CH6033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CH7160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paragraph" w:customStyle="1" w:styleId="p">
    <w:name w:val="p"/>
    <w:basedOn w:val="Normal"/>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63963086086-kingston-university-gr5-changes.pdf"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5CBB0BC-6E4F-4395-ACBF-17676A2207E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