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Education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22/01/2025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Education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Education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 xml:space="preserve"> PGDip in Researching Professional Practice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in Researching Professional Practice</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PPEDU1EDU20</w:t>
            </w: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None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There are no variants to be sought from the UMS.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develop deep and systematic understanding of literature concerning relevant contemporary issues in education practice, policy and professionalism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in-depth, advanced knowledge and critical understanding of education-related subjects and their implications for professional practice, informed by scholarship and research</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comprehensive understanding of ethical approaches, methods and critical skills which enable effective enquiries in professional practice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the demonstration of initiative and originality in problem solving in complex and unpredictable professional situations with minimum guidance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independent, reflective and self-critical learners who can manage their own requirements for professional development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develop advanced knowledge and critical understanding of values, competences and ability, and whilst appreciating complexities, pursue sustainable visions of the future and contribute to positive change in professional practice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autonomously design an enquiry, incorporating critical and ethical dimensions, and research-informed knowledge, to address an issue at the forefront of a student’s professional practice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confidence and critical engagement in academic and professional communications to disseminate learning initiatives in practice environments.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complex searches of databases and other information sources relevant to enquiry into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deconstruct the discourse of professionalism and create ideas or information in innovative ways to explain and enhance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 sense of journeying through the complex and richly nuanced terrain of professional practice as an autonomous and reflective self.</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complex, incomplete and contradictory sources relating to policy, legal and ethical frameworks which pertain to education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theoretical constructs and practices at a high level of abstraction and apply them to an area of enquiry.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effectively communicate and disseminate enquiry processes and outcomes in a specialised subject area in an educational context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systematic understanding of professional knowledge constructs relevant to contextualising situated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through reflection and reflexivity, significant outcomes from literature, data sources and analysis which can inform future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flexibly and creatively synthesise ideas to show how professional learning might be incorporated into professional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advanced understanding of theoretical and methodological approaches relevant to enquiry, learning and practice in professional settings and their relationship to other relevant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 small-scale enquiry in a professional practice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incorporate critically aware ethical dimensions in the process of enquiry within professional practice and manage the implications of moral dilemmas.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reflect upon strengths and weaknesses of current provision to inform and improve professional practice in a range of complex and specialised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MA Education programme structure consists of five modules with a total of 180 credits at level 7 that are typically completed over a period of two years part-time. The curriculum design has been informed by consultation with employers and education experts from a range of training and education providers across the education continuum, i.e., early years, primary, secondary, Further Education and Higher Education, as well as alternative education provision. This has ensured that the curriculum content is conceptually and practically relevant but is also flexible enough to respond to contemporary issues, research and policy changes as they arise in the education field. The curriculum is inclusive as it has </w:t>
      </w:r>
      <w:r w:rsidRPr="2030048C">
        <w:rPr>
          <w:rFonts w:ascii="Arial" w:eastAsia="Arial" w:hAnsi="Arial" w:cs="Arial"/>
          <w:color w:val="111111"/>
          <w:sz w:val="24"/>
          <w:szCs w:val="24"/>
        </w:rPr>
        <w:t>been designed with consideration of Kingston University’s Inclusive Curriculum Framework principles: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111111"/>
          <w:sz w:val="24"/>
          <w:szCs w:val="24"/>
        </w:rPr>
        <w:t xml:space="preserve">To create an accessible curriculum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111111"/>
          <w:sz w:val="24"/>
          <w:szCs w:val="24"/>
        </w:rPr>
        <w:t>To enable students to see themselves reflected in the curriculum</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111111"/>
          <w:sz w:val="24"/>
          <w:szCs w:val="24"/>
        </w:rPr>
        <w:t>To equip students with the skills to positively contribute to and work in a global and diverse environment.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A key design feature of the curriculum enables students to develop enhanced knowledge in subject areas pertinent to their employment role, interests and/or future career aspirations. There are opportunities for students to select focus areas for study to personalise learning relevant to their practice and/or ambitions. Through careful curriculum design the coherence of the course is ensured regardless of focus areas students choose to study within modules.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A second design feature brings first and second year students together to study for two modules: </w:t>
      </w:r>
      <w:r w:rsidRPr="2030048C">
        <w:rPr>
          <w:rFonts w:ascii="Arial" w:eastAsia="Arial" w:hAnsi="Arial" w:cs="Arial"/>
          <w:i/>
          <w:iCs/>
          <w:color w:val="000000" w:themeColor="text1" w:themeShade="FF" w:themeTint="FF"/>
          <w:sz w:val="24"/>
          <w:szCs w:val="24"/>
        </w:rPr>
        <w:t>Contemporary Practice 1</w:t>
      </w:r>
      <w:r w:rsidRPr="2030048C">
        <w:rPr>
          <w:rFonts w:ascii="Arial" w:eastAsia="Arial" w:hAnsi="Arial" w:cs="Arial"/>
          <w:color w:val="000000" w:themeColor="text1" w:themeShade="FF" w:themeTint="FF"/>
          <w:sz w:val="24"/>
          <w:szCs w:val="24"/>
        </w:rPr>
        <w:t xml:space="preserve"> in a student’s first year and </w:t>
      </w:r>
      <w:r w:rsidRPr="2030048C">
        <w:rPr>
          <w:rFonts w:ascii="Arial" w:eastAsia="Arial" w:hAnsi="Arial" w:cs="Arial"/>
          <w:i/>
          <w:iCs/>
          <w:color w:val="000000" w:themeColor="text1" w:themeShade="FF" w:themeTint="FF"/>
          <w:sz w:val="24"/>
          <w:szCs w:val="24"/>
        </w:rPr>
        <w:t>Contemporary Practice 2</w:t>
      </w:r>
      <w:r w:rsidRPr="2030048C">
        <w:rPr>
          <w:rFonts w:ascii="Arial" w:eastAsia="Arial" w:hAnsi="Arial" w:cs="Arial"/>
          <w:color w:val="000000" w:themeColor="text1" w:themeShade="FF" w:themeTint="FF"/>
          <w:sz w:val="24"/>
          <w:szCs w:val="24"/>
        </w:rPr>
        <w:t xml:space="preserve"> in a student’s second year. These modules provide a responsive element to the changing, dynamic field of education. Students are provided with opportunities to develop advanced knowledge from education experts and specialists across the education field, and to critically examine the most recent research and theories relevant to professional practice. Studying together brings a richness of different knowledge and experience and enables the development of a professional and supportive community of learners, whilst extending the students’ professional networks.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table below outlines the programme structure and shows the order of modules for a typical student, reading from left to right for years 1 and 2. Please note that year 1 and year 2 students are taught together for the first modules in teaching blocks 1 of each year.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bl>
      <w:tblPr>
        <w:tblStyle w:val="MsoTableGrid"/>
        <w:tblCellSpacing w:w="15" w:type="dxa"/>
        <w:tblCellMar>
          <w:top w:w="15" w:type="dxa"/>
          <w:left w:w="15" w:type="dxa"/>
          <w:bottom w:w="15" w:type="dxa"/>
          <w:right w:w="15" w:type="dxa"/>
        </w:tblCellMar>
        <w:tblLook w:val="05E0"/>
      </w:tblPr>
      <w:tblGrid>
        <w:gridCol w:w="678"/>
        <w:gridCol w:w="2255"/>
        <w:gridCol w:w="95"/>
        <w:gridCol w:w="2943"/>
        <w:gridCol w:w="95"/>
        <w:gridCol w:w="2856"/>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TEACHING BLOCK 1</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TEACHING BLOCK 2</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TEACHING BLOCK 3</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Year 1</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Module 1</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 xml:space="preserve">Contemporary Practice 1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(30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Module 2</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 xml:space="preserve">Critical Reflection and Reflexivity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(30 credits)</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0"/>
                <w:szCs w:val="20"/>
                <w:shd w:val="clear" w:color="auto" w:fill="FFFFFF"/>
              </w:rPr>
              <w:t>Module 3</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0"/>
                <w:szCs w:val="20"/>
                <w:shd w:val="clear" w:color="auto" w:fill="FFFFFF"/>
              </w:rPr>
              <w:t>Professionalism and Partnership</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0"/>
                <w:szCs w:val="20"/>
                <w:shd w:val="clear" w:color="auto" w:fill="FFFFFF"/>
              </w:rPr>
              <w:t>(30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Year 2</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 xml:space="preserve">Module 4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 xml:space="preserve">Contemporary Practice 2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(30 credits)</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Module 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 xml:space="preserve">Professional Practice Study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(60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r>
    </w:tbl>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table below lists the modules to be successfully completed in order to be awarded MA Education.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Education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Education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Contemporary Practice 1</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QC7730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Contemporary Practice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QC7740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Critical Reflection and Reflexivity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QC7750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Study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QC7770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 and 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Professionalism and Partnership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QC7760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descriptor:</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online webinars and study skills sessions.</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pStyle w:val="Heading2"/>
        <w:ind w:left="570"/>
        <w:outlineLvl w:val="1"/>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QAA Master’s Degree Characteristics (February 2020</w:t>
      </w:r>
      <w:r w:rsidRPr="2030048C">
        <w:rPr>
          <w:rFonts w:ascii="Arial" w:eastAsia="Arial" w:hAnsi="Arial" w:cs="Arial"/>
          <w:sz w:val="24"/>
          <w:szCs w:val="24"/>
        </w:rPr>
        <w:t xml:space="preserve"> Category 3, Professional or Practice Master’s Degree</w:t>
      </w:r>
      <w:r w:rsidRPr="2030048C">
        <w:rPr>
          <w:rFonts w:ascii="Arial" w:eastAsia="Arial" w:hAnsi="Arial" w:cs="Arial"/>
          <w:sz w:val="24"/>
          <w:szCs w:val="24"/>
        </w:rPr>
        <w:t xml:space="preserve">) </w:t>
      </w:r>
      <w:hyperlink r:id="rId11" w:history="1">
        <w:r w:rsidRPr="2030048C">
          <w:rPr>
            <w:rFonts w:ascii="Arial" w:eastAsia="Arial" w:hAnsi="Arial" w:cs="Arial"/>
            <w:color w:val="0000FF"/>
            <w:sz w:val="24"/>
            <w:szCs w:val="24"/>
          </w:rPr>
          <w:t>Characteristics Statement: Master's Degree (qaa.ac.uk)</w:t>
        </w:r>
      </w:hyperlink>
    </w:p>
    <w:p w:rsidRPr="2030048C" w:rsidP="2030048C">
      <w:pPr>
        <w:rPr>
          <w:rFonts w:ascii="Arial" w:eastAsia="Arial" w:hAnsi="Arial" w:cs="Arial"/>
          <w:sz w:val="24"/>
          <w:szCs w:val="24"/>
        </w:rPr>
      </w:pPr>
      <w:hyperlink r:id="rId12" w:history="1">
        <w:r w:rsidRPr="2030048C">
          <w:rPr>
            <w:rFonts w:ascii="Arial" w:eastAsia="Arial" w:hAnsi="Arial" w:cs="Arial"/>
            <w:color w:val="0000FF"/>
            <w:sz w:val="24"/>
            <w:szCs w:val="24"/>
          </w:rPr>
          <w:t>‘Sector Recognised Standards in England’</w:t>
        </w:r>
      </w:hyperlink>
      <w:r w:rsidRPr="2030048C">
        <w:rPr>
          <w:rFonts w:ascii="Arial" w:eastAsia="Arial" w:hAnsi="Arial" w:cs="Arial"/>
          <w:sz w:val="24"/>
          <w:szCs w:val="24"/>
        </w:rPr>
        <w:t xml:space="preserve"> (OFS 2022)</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55"/>
        <w:gridCol w:w="955"/>
        <w:gridCol w:w="955"/>
        <w:gridCol w:w="955"/>
        <w:gridCol w:w="95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QC7730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QC7750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QC7760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QC7740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QC7770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tbl>
      <w:tblPr>
        <w:tblStyle w:val="Table"/>
        <w:tblCellSpacing w:w="15" w:type="dxa"/>
        <w:tblCellMar>
          <w:top w:w="15" w:type="dxa"/>
          <w:left w:w="15" w:type="dxa"/>
          <w:bottom w:w="15" w:type="dxa"/>
          <w:right w:w="15" w:type="dxa"/>
        </w:tblCellMar>
        <w:tblLook w:val="05E0"/>
      </w:tblPr>
      <w:tblGrid>
        <w:gridCol w:w="1894"/>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QAPCC13 25/26 </w:t>
            </w:r>
          </w:p>
        </w:tc>
      </w:tr>
    </w:tbl>
    <w:p w:rsidRPr="2030048C" w:rsidP="2030048C" w14:paraId="0E005814" w14:textId="395E719D">
      <w:pPr>
        <w:rPr>
          <w:rFonts w:ascii="Arial" w:eastAsia="Arial" w:hAnsi="Arial" w:cs="Arial"/>
          <w:sz w:val="24"/>
          <w:szCs w:val="24"/>
        </w:rPr>
      </w:pPr>
      <w:r w:rsidRPr="2030048C">
        <w:rPr>
          <w:rFonts w:ascii="Arial" w:eastAsia="Arial" w:hAnsi="Arial" w:cs="Arial"/>
          <w:sz w:val="22"/>
          <w:szCs w:val="22"/>
        </w:rPr>
        <w:t>Change of intake from September 2025 to January 2026.</w:t>
      </w:r>
    </w:p>
    <w:p w:rsidRPr="2030048C" w:rsidP="2030048C">
      <w:pPr>
        <w:rPr>
          <w:rFonts w:ascii="Arial" w:eastAsia="Arial" w:hAnsi="Arial" w:cs="Arial"/>
          <w:sz w:val="24"/>
          <w:szCs w:val="24"/>
        </w:rPr>
      </w:pPr>
      <w:r w:rsidRPr="2030048C">
        <w:rPr>
          <w:rFonts w:ascii="Arial" w:eastAsia="Arial" w:hAnsi="Arial" w:cs="Arial"/>
          <w:sz w:val="24"/>
          <w:szCs w:val="24"/>
        </w:rPr>
        <w:t>The January intake is a temporary change for the 2025-26 academic year only, the course will revert to a September intake from the 2026-27 academic year.</w:t>
      </w:r>
    </w:p>
    <w:p w:rsidRPr="2030048C" w:rsidP="2030048C">
      <w:pPr>
        <w:rPr>
          <w:rFonts w:ascii="Arial" w:eastAsia="Arial" w:hAnsi="Arial" w:cs="Arial"/>
          <w:sz w:val="24"/>
          <w:szCs w:val="24"/>
        </w:rPr>
      </w:pPr>
      <w:r w:rsidRPr="2030048C">
        <w:rPr>
          <w:rFonts w:ascii="Arial" w:eastAsia="Arial" w:hAnsi="Arial" w:cs="Arial"/>
          <w:sz w:val="24"/>
          <w:szCs w:val="24"/>
        </w:rPr>
        <w:t>Summary of intakes:</w:t>
      </w:r>
    </w:p>
    <w:p w:rsidRPr="2030048C" w:rsidP="2030048C">
      <w:pPr>
        <w:rPr>
          <w:rFonts w:ascii="Arial" w:eastAsia="Arial" w:hAnsi="Arial" w:cs="Arial"/>
          <w:sz w:val="24"/>
          <w:szCs w:val="24"/>
        </w:rPr>
      </w:pPr>
      <w:r w:rsidRPr="2030048C">
        <w:rPr>
          <w:rFonts w:ascii="Arial" w:eastAsia="Arial" w:hAnsi="Arial" w:cs="Arial"/>
          <w:sz w:val="24"/>
          <w:szCs w:val="24"/>
        </w:rPr>
        <w:t>2025-26: January 2026 intake</w:t>
      </w:r>
    </w:p>
    <w:p w:rsidRPr="2030048C" w:rsidP="2030048C">
      <w:pPr>
        <w:rPr>
          <w:rFonts w:ascii="Arial" w:eastAsia="Arial" w:hAnsi="Arial" w:cs="Arial"/>
          <w:sz w:val="24"/>
          <w:szCs w:val="24"/>
        </w:rPr>
      </w:pPr>
      <w:r w:rsidRPr="2030048C">
        <w:rPr>
          <w:rFonts w:ascii="Arial" w:eastAsia="Arial" w:hAnsi="Arial" w:cs="Arial"/>
          <w:sz w:val="24"/>
          <w:szCs w:val="24"/>
        </w:rPr>
        <w:t>2026-27 onwards: September 2026 intake (no more January intakes permitted)</w:t>
      </w:r>
    </w:p>
    <w:p w:rsidRPr="2030048C" w:rsidP="2030048C">
      <w:pPr>
        <w:rPr>
          <w:rFonts w:ascii="Arial" w:eastAsia="Arial" w:hAnsi="Arial" w:cs="Arial"/>
          <w:sz w:val="24"/>
          <w:szCs w:val="24"/>
        </w:rPr>
      </w:pP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table" w:customStyle="1" w:styleId="MsoTableGrid">
    <w:name w:val="MsoTableGrid"/>
    <w:basedOn w:val="TableNormal"/>
    <w:tblPr/>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officeforstudents.org.uk/media/53821cbf-5779-4380-bf2a-aa8f5c53ecd4/sector-recognised-standards.pdf"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quality-code/master's-degree-characteristics-statement.pdf"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FA1956A-84C6-43D8-AE61-F1817ABED4A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