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Degree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Early Years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1. South Thames Colleges Group (Kingston College), UK 2. Brooklands College, UK 3. Morley College Limited, UK 4. Reach Academy (MAT), UK 5. Learning in Harmony Trust, UK 6. Harrow, Richmond and Uxbridge Colleges, UK 7. The LETTA Trust,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Degree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Early Years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Foundation Degree in Early Years Learning and Development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UFEYR1EYR03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Early Years with Early Years Educator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Foundation Degree in Early Years Learning and Development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1. South Thames Colleges Group (Kingston College), UK 2. Brooklands College, UK 3. Morley College Limited, UK 4. Reach Academy (MAT), UK 5. Learning in Harmony Trust, UK 6. Harrow, Richmond and Uxbridge Colleges, UK 7. The LETTA Trust,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1. South Thames Colleges Group (Kingston College), UK 2. Brooklands College, UK 3. Morley College Limited, UK 4. Reach Academy (MAT), UK 5. Learning in Harmony Trust, UK 6. Harrow, Richmond and Uxbridge Colleges, UK 7. The LETTA Trust,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Qualification:</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2"/>
                <w:szCs w:val="22"/>
                <w:shd w:val="clear" w:color="auto" w:fill="FFFFFF"/>
              </w:rPr>
              <w:t>A full relevant Early Years Qualification listed on the Department for Education Early Years Qualifications List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Please refer to the link below for full and relevant Early Years Qualifications pre and post 2014 which are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accepted as entry for the Foundation Degree in Early Years at Kingston University.</w:t>
            </w:r>
          </w:p>
          <w:p w:rsidRPr="2030048C" w:rsidP="2030048C">
            <w:pPr>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00"/>
                  <w:sz w:val="22"/>
                  <w:szCs w:val="22"/>
                  <w:shd w:val="clear" w:color="auto" w:fill="FFFFFF"/>
                </w:rPr>
                <w:t>Department for Education Early Years Qualifications List</w:t>
              </w:r>
            </w:hyperlink>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Maths and English:</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2"/>
                <w:szCs w:val="22"/>
                <w:shd w:val="clear" w:color="auto" w:fill="FFFFFF"/>
              </w:rPr>
              <w:t>English and Maths requirements for level 3 ratios (See EYFS 2021 for further details) will be discussed with candidates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as part of the interview process for the course, however they are not a requirement for the course commencement.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RPL: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Employment: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Employment in an early year setting in either paid or voluntary capacity for a minimum of 16 hours per week for the duration of the programme with the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flexibility of visiting provisions catering up to the age of 8.</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Experience: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It is normally expected that applicants should have prior experience in an appropriate setting prior to undertaking the Foundation Degree. However, Kingston University is committed to widening participation and encourages potential applicants who may not have ‘typical’ qualifications and/or experience to contact the Department of Education for advice.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DBS: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Applicants must have a Disclosure Barring Service (DBS) check before they can start this course.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Critical Professional Associate: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candidates will be interviewed as part of the application process and will have to identify a Critical Professional Associate (Mentor) in the workplace who is qualified to Level 6 in a related field and who is willing to carry out workplace assessments. A mandatory training for the Critical Professional Associate will be pro</w:t>
            </w:r>
            <w:r w:rsidRPr="2030048C">
              <w:rPr>
                <w:rStyle w:val="normaltextrun"/>
                <w:rFonts w:ascii="Arial" w:eastAsia="Arial" w:hAnsi="Arial" w:cs="Arial"/>
                <w:b w:val="0"/>
                <w:bCs w:val="0"/>
                <w:color w:val="000000"/>
                <w:sz w:val="22"/>
                <w:szCs w:val="22"/>
                <w:shd w:val="clear" w:color="auto" w:fill="FFFFFF"/>
              </w:rPr>
              <w:t>vided by the university.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All modules must be passed without compensation in order to achieve the Foundation Degree in Early Years.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Students registered on this pathway who pass all credit bearing modules but do not pass the non-credit bearing Reflective Professional Practice Record (RPPR) will exit with a Foundation Degree in Early Years Education and Learning</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appropriate knowledge and critical understanding of the well-established principles in Early Years and the way in which those principles have developed;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deliver the professional, practical skills and competencies which are required to work with children in the Foundation Stage;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ensure that students can demonstrate, within their practice, that they have adopted appropriate values and principles of working with babies and young children;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self-awareness and reflection including the ability to evaluate their impact upon other people in the environment in which they work;</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ability to understand and apply the principles of evidence-based practice and develop an understanding of the limits of their knowledge, and how this influences analysis and interpretations based on that knowledge in the field of Early Years and their work context;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an appropriate understanding of the regulatory and legislative frameworks for Early Years and to prepare students to work within these frameworks;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suitable basis in terms of transferable skills necessary for continued employment and possible progression to BA (Hons.) Degree, Early Years Teacher status (EYT) and/or Qualified Teacher Status (QTS) (subject to entry requirements).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Early years principles, values and belief systems of effective practice (including international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practice within the regulatory framework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Differences and diversity that challenge stereotypes, counter discrimination and promote respect for a range of life-styles and cultures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early years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 with young children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Interprofessional expectations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legislation, theories of learning, development and assessment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Early years regulatory and legislative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self-evaluation and critical reflection of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interprofessional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The modules will run sequentially, one after the other, enabling students to complete work based tasks and to gather data for formative and summative assessments. All modules are core modules for the Foundation Degree in Early Years.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University’s Undergraduate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Degree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Early Years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Foundation Degree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Early Years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Observation and Assessment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PROTECTION AND ETHICAL PRACTICES OF WORKING WITH CHILDREN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Inclusive Education and Interprofessional Perspectives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through Reflective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Reflective Professional Practice Record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all core modules to be passed.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Foundation Degree</w:t>
            </w:r>
            <w:r w:rsidRPr="2030048C">
              <w:rPr>
                <w:rFonts w:ascii="Arial" w:eastAsia="Arial" w:hAnsi="Arial" w:cs="Arial"/>
                <w:b/>
                <w:bCs/>
                <w:lang w:val="en-GB"/>
              </w:rPr>
              <w:t xml:space="preserve"> </w:t>
            </w:r>
            <w:r w:rsidRPr="2030048C">
              <w:rPr>
                <w:rFonts w:ascii="Arial" w:eastAsia="Arial" w:hAnsi="Arial" w:cs="Arial"/>
                <w:b/>
                <w:bCs/>
                <w:lang w:val="en-GB"/>
              </w:rPr>
              <w:t>Early Years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Early Years Pedagogy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Effective Communication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Historical and International Perspectives of Early Years Education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Special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Early Years with Early Years Educator</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Early Years with Early Years Educator</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Observation and Assessment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PROTECTION AND ETHICAL PRACTICES OF WORKING WITH CHILDREN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Inclusive Education and Interprofessional Perspectives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through Reflective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Reflective Professional Practice Record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FdA</w:t>
            </w:r>
            <w:r w:rsidRPr="2030048C">
              <w:rPr>
                <w:rFonts w:ascii="Arial" w:eastAsia="Arial" w:hAnsi="Arial" w:cs="Arial"/>
                <w:b/>
                <w:bCs/>
                <w:lang w:val="en-GB"/>
              </w:rPr>
              <w:t xml:space="preserve"> </w:t>
            </w:r>
            <w:r w:rsidRPr="2030048C">
              <w:rPr>
                <w:rFonts w:ascii="Arial" w:eastAsia="Arial" w:hAnsi="Arial" w:cs="Arial"/>
                <w:b/>
                <w:bCs/>
                <w:lang w:val="en-GB"/>
              </w:rPr>
              <w:t>Early Years with Early Years Educator</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Early Years Pedagogy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Effective Communication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Historical and International Perspectives of Early Years Education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Special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w:t>
      </w:r>
      <w:r w:rsidRPr="2030048C">
        <w:rPr>
          <w:rFonts w:ascii="Arial" w:eastAsia="Arial" w:hAnsi="Arial" w:cs="Arial"/>
          <w:sz w:val="24"/>
          <w:szCs w:val="24"/>
        </w:rPr>
        <w:t>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Boards of S</w:t>
      </w:r>
      <w:r w:rsidRPr="2030048C">
        <w:rPr>
          <w:rFonts w:ascii="Arial" w:eastAsia="Arial" w:hAnsi="Arial" w:cs="Arial"/>
          <w:sz w:val="24"/>
          <w:szCs w:val="24"/>
        </w:rPr>
        <w:t>tudy with student representation</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Staff Student Consultative Committee </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National accreditation by </w:t>
      </w:r>
      <w:r w:rsidRPr="2030048C">
        <w:rPr>
          <w:rFonts w:ascii="Arial" w:eastAsia="Arial" w:hAnsi="Arial" w:cs="Arial"/>
          <w:sz w:val="24"/>
          <w:szCs w:val="24"/>
        </w:rPr>
        <w:t xml:space="preserve">the </w:t>
      </w:r>
      <w:r w:rsidRPr="2030048C">
        <w:rPr>
          <w:rFonts w:ascii="Arial" w:eastAsia="Arial" w:hAnsi="Arial" w:cs="Arial"/>
          <w:sz w:val="24"/>
          <w:szCs w:val="24"/>
        </w:rPr>
        <w:t>Sector Endorsed Foundation Degree in Early Years (SEFDEY)</w:t>
      </w:r>
      <w:r w:rsidRPr="2030048C">
        <w:rPr>
          <w:rFonts w:ascii="Arial" w:eastAsia="Arial" w:hAnsi="Arial" w:cs="Arial"/>
          <w:sz w:val="24"/>
          <w:szCs w:val="24"/>
        </w:rPr>
        <w:t xml:space="preserve"> Network</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Professional Advocate Training package</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Standardisation Events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Staff Development Days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733"/>
        <w:gridCol w:w="733"/>
        <w:gridCol w:w="733"/>
        <w:gridCol w:w="733"/>
        <w:gridCol w:w="733"/>
        <w:gridCol w:w="733"/>
        <w:gridCol w:w="2"/>
        <w:gridCol w:w="731"/>
        <w:gridCol w:w="733"/>
        <w:gridCol w:w="733"/>
        <w:gridCol w:w="73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QF4051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gov.uk/government/publications/early-years-qualifications-achieved-in-england"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617B9D8-2825-477B-9FCB-601BA310460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