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UFPHC1PHC01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B210/B211/B212 (full time/placement/foundation)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USPHC1PHC45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Pharmacology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Pharmacology</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UFPHC1PHC55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w:t>
            </w:r>
            <w:r w:rsidRPr="2030048C">
              <w:rPr>
                <w:rStyle w:val="normaltextrun"/>
                <w:rFonts w:ascii="Calibri" w:eastAsia="Calibri" w:hAnsi="Calibri" w:cs="Calibri"/>
                <w:b w:val="0"/>
                <w:bCs w:val="0"/>
                <w:color w:val="000000"/>
                <w:sz w:val="22"/>
                <w:szCs w:val="22"/>
                <w:shd w:val="clear" w:color="auto" w:fill="FFFFFF"/>
              </w:rPr>
              <w:t>oyal Society of Biology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The </w:t>
            </w:r>
            <w:r w:rsidRPr="158602C4">
              <w:rPr>
                <w:rStyle w:val="normaltextrun"/>
                <w:rFonts w:ascii="Arial" w:eastAsia="Arial" w:hAnsi="Arial" w:cs="Arial"/>
                <w:b w:val="0"/>
                <w:bCs w:val="0"/>
                <w:color w:val="000000" w:themeColor="text1" w:themeShade="FF" w:themeTint="FF"/>
                <w:sz w:val="24"/>
                <w:szCs w:val="24"/>
              </w:rPr>
              <w:t>project</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bioscienc</w:t>
            </w:r>
            <w:r w:rsidRPr="158602C4">
              <w:rPr>
                <w:rStyle w:val="normaltextrun"/>
                <w:rFonts w:ascii="Arial" w:eastAsia="Arial" w:hAnsi="Arial" w:cs="Arial"/>
                <w:b w:val="0"/>
                <w:bCs w:val="0"/>
                <w:color w:val="000000" w:themeColor="text1" w:themeShade="FF" w:themeTint="FF"/>
                <w:sz w:val="24"/>
                <w:szCs w:val="24"/>
              </w:rPr>
              <w:t xml:space="preserve">e) module </w:t>
            </w:r>
            <w:r w:rsidRPr="158602C4">
              <w:rPr>
                <w:rStyle w:val="normaltextrun"/>
                <w:rFonts w:ascii="Arial" w:eastAsia="Arial" w:hAnsi="Arial" w:cs="Arial"/>
                <w:b w:val="0"/>
                <w:bCs w:val="0"/>
                <w:color w:val="000000" w:themeColor="text1" w:themeShade="FF" w:themeTint="FF"/>
                <w:sz w:val="24"/>
                <w:szCs w:val="24"/>
              </w:rPr>
              <w:t>(</w:t>
            </w:r>
            <w:r w:rsidRPr="158602C4">
              <w:rPr>
                <w:rStyle w:val="normaltextrun"/>
                <w:rFonts w:ascii="Arial" w:eastAsia="Arial" w:hAnsi="Arial" w:cs="Arial"/>
                <w:b w:val="0"/>
                <w:bCs w:val="0"/>
                <w:color w:val="000000" w:themeColor="text1" w:themeShade="FF" w:themeTint="FF"/>
                <w:sz w:val="24"/>
                <w:szCs w:val="24"/>
              </w:rPr>
              <w:t>LS6014</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must be pas</w:t>
            </w:r>
            <w:r w:rsidRPr="158602C4">
              <w:rPr>
                <w:rStyle w:val="normaltextrun"/>
                <w:rFonts w:ascii="Arial" w:eastAsia="Arial" w:hAnsi="Arial" w:cs="Arial"/>
                <w:b w:val="0"/>
                <w:bCs w:val="0"/>
                <w:color w:val="000000" w:themeColor="text1" w:themeShade="FF" w:themeTint="FF"/>
                <w:sz w:val="24"/>
                <w:szCs w:val="24"/>
              </w:rPr>
              <w:t>sed and</w:t>
            </w:r>
            <w:r w:rsidRPr="158602C4">
              <w:rPr>
                <w:rStyle w:val="normaltextrun"/>
                <w:rFonts w:ascii="Arial" w:eastAsia="Arial" w:hAnsi="Arial" w:cs="Arial"/>
                <w:b w:val="0"/>
                <w:bCs w:val="0"/>
                <w:color w:val="000000" w:themeColor="text1" w:themeShade="FF" w:themeTint="FF"/>
                <w:sz w:val="24"/>
                <w:szCs w:val="24"/>
              </w:rPr>
              <w:t xml:space="preserve"> cannot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For all pharmacology students, the course aims: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the core elements of pharmacology;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identify, locate and critically appraise primary and secondary sources as a basis for independent study, and a major research project in the final year;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subject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the opportunities to develop their written, oral, and digital communication skills;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 creativity and innovation relevant to the workplace; and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research, further study, and lifelong learning by developing their intellectual, problem-solving, practical, and key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within students a social awareness of decision-making processes  </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Additionally, for students following the professional placement route, the course aims: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complete a period of work experience within a relevant institution, building upon their previous academic knowledge and experience.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insight into the nature of employment opportunities for pharmacologists by gaining first-hand experience.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Leverage awareness of the career opportunities within pharmacology, or closely related subject areas, to pursue effective graduate studies or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scientific tools and instruments and understand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Contextualise the relevance of underpinning bioscience subjects, including human physiology, cell and molecular biology, biochemistry, immunology, and microbiology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perform key pharmacological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principles of pharmacodynamics and pharmacokinetics, drug discovery, and preclinical to clinical testing - in the context of the latest research and literature in the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an independent,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experiments to investigate pharmacological phenomena; and recognise strategies to mitigate bias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apply extensive knowledge and understanding of research methods and skills; along with the ethical implications for equality, diversity, and inclusivity of pharmacological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perform subject-related practical work safely, and understand and comply with ethical and safety regulations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critically evaluate, integrate, and synthesise information from multiple sources, including both primary data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Scientific and Laboratory Skills module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Microbiology, Research Methods and Skills module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to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with Pharmacology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Pharmacology with Toxicology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Pharmacology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Microbiology,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Medicines from Lab to Launch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Pharmacotherapy of Infection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plus the placement module, are eligible for the award of Diploma of Higher Education with Professional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r w:rsidRPr="2030048C">
        <w:rPr>
          <w:rFonts w:ascii="Arial" w:eastAsia="Arial" w:hAnsi="Arial" w:cs="Arial"/>
          <w:sz w:val="22"/>
          <w:szCs w:val="22"/>
        </w:rPr>
        <w:t xml:space="preserv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Mental Health and Wellbeing support teams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membership to the British Pharmacological Society (BPS)</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0"/>
        <w:gridCol w:w="224"/>
        <w:gridCol w:w="550"/>
        <w:gridCol w:w="550"/>
        <w:gridCol w:w="550"/>
        <w:gridCol w:w="550"/>
        <w:gridCol w:w="550"/>
        <w:gridCol w:w="550"/>
        <w:gridCol w:w="550"/>
        <w:gridCol w:w="550"/>
        <w:gridCol w:w="550"/>
        <w:gridCol w:w="550"/>
        <w:gridCol w:w="550"/>
        <w:gridCol w:w="550"/>
        <w:gridCol w:w="550"/>
        <w:gridCol w:w="56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Students may enter the course at the end of September. </w:t>
      </w:r>
    </w:p>
    <w:p w:rsidRPr="2030048C" w:rsidP="2030048C">
      <w:pPr>
        <w:rPr>
          <w:rFonts w:ascii="Arial" w:eastAsia="Arial" w:hAnsi="Arial" w:cs="Arial"/>
          <w:sz w:val="24"/>
          <w:szCs w:val="24"/>
        </w:rPr>
      </w:pPr>
      <w:r w:rsidRPr="2030048C">
        <w:rPr>
          <w:rFonts w:ascii="Arial" w:eastAsia="Arial" w:hAnsi="Arial" w:cs="Arial"/>
          <w:sz w:val="24"/>
          <w:szCs w:val="24"/>
        </w:rPr>
        <w:t>All modules are taught across Autumn and Spring terms (TY13) from September - April in all years.</w:t>
      </w:r>
      <w:r w:rsidRPr="2030048C">
        <w:rPr>
          <w:rFonts w:ascii="Arial" w:eastAsia="Arial" w:hAnsi="Arial" w:cs="Arial"/>
          <w:sz w:val="24"/>
          <w:szCs w:val="24"/>
        </w:rPr>
        <w:br/>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E2C9B4F-A35C-4CED-86B9-60F42CAFCDC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