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BSc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Pharmacology</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13/02/2025</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12/01/2026</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01/09/2026</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Life Sciences, Pharmacy and Chemistry</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Chemical &amp; Pharmaceutical Sciences</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Pharmacology</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Pharmacology</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Pharmacology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Pharmacology</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UFPHC1PHC01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B210/B211/B212 (full time/placement/foundation)</w:t>
            </w: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B"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Pharmacology (with Professional Placement)</w:t>
            </w:r>
          </w:p>
          <w:p w:rsidR="72431AC7" w:rsidP="540725A5" w14:textId="77777777">
            <w:pPr>
              <w:rPr>
                <w:rFonts w:ascii="Arial" w:eastAsia="Arial" w:hAnsi="Arial" w:cs="Arial"/>
                <w:b w:val="0"/>
                <w:bCs w:val="0"/>
                <w:sz w:val="24"/>
                <w:szCs w:val="24"/>
              </w:rPr>
            </w:pPr>
          </w:p>
        </w:tc>
      </w:tr>
      <w:tr w14:paraId="34BB979C"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Pharmacology with Professional Placement</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Pharmacology with Professional Placement</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Pharmacology with Professional Placement</w:t>
            </w:r>
            <w:r>
              <w:br/>
            </w:r>
          </w:p>
        </w:tc>
      </w:tr>
      <w:tr w14:paraId="2A120393"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USPHC1PHC45</w:t>
            </w:r>
          </w:p>
        </w:tc>
      </w:tr>
      <w:tr w14:paraId="78C565E9"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00928A20" w:rsidP="540725A5"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C" w14:textId="77777777" w:rsidTr="2030048C">
        <w:tblPrEx>
          <w:tblW w:w="0" w:type="auto"/>
          <w:tblLook w:val="04A0"/>
        </w:tblPrEx>
        <w:tc>
          <w:tcPr>
            <w:tcW w:w="3186" w:type="dxa"/>
          </w:tcPr>
          <w:p w:rsidR="72431AC7" w:rsidP="5C72847F"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BSc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Pharmacology (with Foundation Year)</w:t>
            </w:r>
          </w:p>
          <w:p w:rsidR="72431AC7" w:rsidP="540725A5" w14:textId="77777777">
            <w:pPr>
              <w:rPr>
                <w:rFonts w:ascii="Arial" w:eastAsia="Arial" w:hAnsi="Arial" w:cs="Arial"/>
                <w:b w:val="0"/>
                <w:bCs w:val="0"/>
                <w:sz w:val="24"/>
                <w:szCs w:val="24"/>
              </w:rPr>
            </w:pPr>
          </w:p>
        </w:tc>
      </w:tr>
      <w:tr w14:paraId="34BB979D" w14:textId="77777777" w:rsidTr="2030048C">
        <w:tblPrEx>
          <w:tblW w:w="0" w:type="auto"/>
          <w:tblLook w:val="04A0"/>
        </w:tblPrEx>
        <w:tc>
          <w:tcPr>
            <w:tcW w:w="3186" w:type="dxa"/>
          </w:tcPr>
          <w:p w:rsidR="72431AC7" w:rsidP="5C72847F"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CertHE Pharmacology</w:t>
            </w:r>
          </w:p>
          <w:p w:rsidR="72431AC7" w:rsidP="2030048C"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BSc Pharmacology</w:t>
            </w:r>
          </w:p>
          <w:p w:rsidR="72431AC7" w:rsidP="2030048C"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DipHE Pharmacology</w:t>
            </w:r>
            <w:r>
              <w:br/>
            </w:r>
          </w:p>
        </w:tc>
      </w:tr>
      <w:tr w14:paraId="2A120394" w14:textId="77777777" w:rsidTr="2030048C">
        <w:tblPrEx>
          <w:tblW w:w="0" w:type="auto"/>
          <w:tblLook w:val="04A0"/>
        </w:tblPrEx>
        <w:tc>
          <w:tcPr>
            <w:tcW w:w="3186" w:type="dxa"/>
          </w:tcPr>
          <w:p w:rsidR="72431AC7"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textId="01874922">
            <w:pPr>
              <w:rPr>
                <w:rFonts w:ascii="Arial" w:eastAsia="Arial" w:hAnsi="Arial" w:cs="Arial"/>
                <w:b w:val="0"/>
                <w:bCs w:val="0"/>
                <w:sz w:val="24"/>
                <w:szCs w:val="24"/>
                <w:lang w:val="en-GB"/>
              </w:rPr>
            </w:pPr>
          </w:p>
          <w:p w:rsidR="72431AC7" w:rsidP="2030048C"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UFPHC1PHC55</w:t>
            </w:r>
          </w:p>
        </w:tc>
      </w:tr>
      <w:tr w14:paraId="78C565EA" w14:textId="77777777" w:rsidTr="2030048C">
        <w:tblPrEx>
          <w:tblW w:w="0" w:type="auto"/>
          <w:tblLook w:val="04A0"/>
        </w:tblPrEx>
        <w:tc>
          <w:tcPr>
            <w:tcW w:w="3186" w:type="dxa"/>
          </w:tcPr>
          <w:p w:rsidR="00420254" w:rsidP="540725A5"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Penrhyn Road</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4</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Professional Placement</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7</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E561A2" w:rsidP="2030048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With foundation year</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8</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Calibri" w:eastAsia="Calibri" w:hAnsi="Calibri" w:cs="Calibri"/>
                <w:b w:val="0"/>
                <w:bCs w:val="0"/>
                <w:color w:val="000000"/>
                <w:sz w:val="22"/>
                <w:szCs w:val="22"/>
                <w:shd w:val="clear" w:color="auto" w:fill="FFFFFF"/>
              </w:rPr>
              <w:t>R</w:t>
            </w:r>
            <w:r w:rsidRPr="2030048C">
              <w:rPr>
                <w:rStyle w:val="normaltextrun"/>
                <w:rFonts w:ascii="Calibri" w:eastAsia="Calibri" w:hAnsi="Calibri" w:cs="Calibri"/>
                <w:b w:val="0"/>
                <w:bCs w:val="0"/>
                <w:color w:val="000000"/>
                <w:sz w:val="22"/>
                <w:szCs w:val="22"/>
                <w:shd w:val="clear" w:color="auto" w:fill="FFFFFF"/>
              </w:rPr>
              <w:t>oyal Society of Biology</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jc w:val="both"/>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 xml:space="preserve">The </w:t>
            </w:r>
            <w:r w:rsidRPr="158602C4">
              <w:rPr>
                <w:rStyle w:val="normaltextrun"/>
                <w:rFonts w:ascii="Arial" w:eastAsia="Arial" w:hAnsi="Arial" w:cs="Arial"/>
                <w:b w:val="0"/>
                <w:bCs w:val="0"/>
                <w:color w:val="000000" w:themeColor="text1" w:themeShade="FF" w:themeTint="FF"/>
                <w:sz w:val="24"/>
                <w:szCs w:val="24"/>
              </w:rPr>
              <w:t>project</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bioscienc</w:t>
            </w:r>
            <w:r w:rsidRPr="158602C4">
              <w:rPr>
                <w:rStyle w:val="normaltextrun"/>
                <w:rFonts w:ascii="Arial" w:eastAsia="Arial" w:hAnsi="Arial" w:cs="Arial"/>
                <w:b w:val="0"/>
                <w:bCs w:val="0"/>
                <w:color w:val="000000" w:themeColor="text1" w:themeShade="FF" w:themeTint="FF"/>
                <w:sz w:val="24"/>
                <w:szCs w:val="24"/>
              </w:rPr>
              <w:t xml:space="preserve">e) module </w:t>
            </w:r>
            <w:r w:rsidRPr="158602C4">
              <w:rPr>
                <w:rStyle w:val="normaltextrun"/>
                <w:rFonts w:ascii="Arial" w:eastAsia="Arial" w:hAnsi="Arial" w:cs="Arial"/>
                <w:b w:val="0"/>
                <w:bCs w:val="0"/>
                <w:color w:val="000000" w:themeColor="text1" w:themeShade="FF" w:themeTint="FF"/>
                <w:sz w:val="24"/>
                <w:szCs w:val="24"/>
              </w:rPr>
              <w:t>(</w:t>
            </w:r>
            <w:r w:rsidRPr="158602C4">
              <w:rPr>
                <w:rStyle w:val="normaltextrun"/>
                <w:rFonts w:ascii="Arial" w:eastAsia="Arial" w:hAnsi="Arial" w:cs="Arial"/>
                <w:b w:val="0"/>
                <w:bCs w:val="0"/>
                <w:color w:val="000000" w:themeColor="text1" w:themeShade="FF" w:themeTint="FF"/>
                <w:sz w:val="24"/>
                <w:szCs w:val="24"/>
              </w:rPr>
              <w:t>LS6014</w:t>
            </w:r>
            <w:r w:rsidRPr="158602C4">
              <w:rPr>
                <w:rStyle w:val="normaltextrun"/>
                <w:rFonts w:ascii="Arial" w:eastAsia="Arial" w:hAnsi="Arial" w:cs="Arial"/>
                <w:b w:val="0"/>
                <w:bCs w:val="0"/>
                <w:color w:val="000000" w:themeColor="text1" w:themeShade="FF" w:themeTint="FF"/>
                <w:sz w:val="24"/>
                <w:szCs w:val="24"/>
              </w:rPr>
              <w:t xml:space="preserve">) </w:t>
            </w:r>
            <w:r w:rsidRPr="158602C4">
              <w:rPr>
                <w:rStyle w:val="normaltextrun"/>
                <w:rFonts w:ascii="Arial" w:eastAsia="Arial" w:hAnsi="Arial" w:cs="Arial"/>
                <w:b w:val="0"/>
                <w:bCs w:val="0"/>
                <w:color w:val="000000" w:themeColor="text1" w:themeShade="FF" w:themeTint="FF"/>
                <w:sz w:val="24"/>
                <w:szCs w:val="24"/>
              </w:rPr>
              <w:t>must be pas</w:t>
            </w:r>
            <w:r w:rsidRPr="158602C4">
              <w:rPr>
                <w:rStyle w:val="normaltextrun"/>
                <w:rFonts w:ascii="Arial" w:eastAsia="Arial" w:hAnsi="Arial" w:cs="Arial"/>
                <w:b w:val="0"/>
                <w:bCs w:val="0"/>
                <w:color w:val="000000" w:themeColor="text1" w:themeShade="FF" w:themeTint="FF"/>
                <w:sz w:val="24"/>
                <w:szCs w:val="24"/>
              </w:rPr>
              <w:t>sed and</w:t>
            </w:r>
            <w:r w:rsidRPr="158602C4">
              <w:rPr>
                <w:rStyle w:val="normaltextrun"/>
                <w:rFonts w:ascii="Arial" w:eastAsia="Arial" w:hAnsi="Arial" w:cs="Arial"/>
                <w:b w:val="0"/>
                <w:bCs w:val="0"/>
                <w:color w:val="000000" w:themeColor="text1" w:themeShade="FF" w:themeTint="FF"/>
                <w:sz w:val="24"/>
                <w:szCs w:val="24"/>
              </w:rPr>
              <w:t xml:space="preserve"> cannot be compensated.</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57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For all pharmacology students, the course aims: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in-depth knowledge and understanding of the core elements of pharmacology;</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identify, locate and critically appraise primary and secondary sources as a basis for independent study, and a major research project in the final year;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subject related practical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to provide students with the opportunities to develop their written, oral, and digital communication skills;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student creativity and innovation relevant to the workplace; and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prepare students for graduate employment, research, further study, and lifelong learning by developing their intellectual, problem-solving, practical, and key (transferable) skills;</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develop within students a social awareness of decision-making processes  </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ind w:left="72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Additionally, for students following the professional placement route, the course aims:</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enable students to complete a period of work experience within a relevant institution, building upon their previous academic knowledge and experience.</w:t>
      </w:r>
    </w:p>
    <w:p w:rsidRPr="2030048C" w:rsidP="2030048C">
      <w:pPr>
        <w:pStyle w:val="ListParagraph"/>
        <w:numPr>
          <w:ilvl w:val="0"/>
          <w:numId w:val="13"/>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to provide students with an insight into the nature of employment opportunities for pharmacologists by gaining first-hand experience.</w:t>
      </w:r>
    </w:p>
    <w:p w:rsidRPr="2030048C" w:rsidP="2030048C">
      <w:pPr>
        <w:pStyle w:val="ListParagraph"/>
        <w:ind w:left="0"/>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Leverage awareness of the career opportunities within pharmacology, or closely related subject areas, to pursue effective graduate studies or employment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B7</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Work effectively in a team and play a full part in achieving its success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complex scientific tools and instruments and understand their technological basis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Contextualise the relevance of underpinning bioscience subjects, including human physiology, cell and molecular biology, biochemistry, immunology, and microbiology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B6</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original ideas and communicate them well to others (in written, oral and digital form)</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Select and perform key pharmacological techniques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Explain the principles of pharmacodynamics and pharmacokinetics, drug discovery, and preclinical to clinical testing - in the context of the latest research and literature in the field</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B5</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ability to be an independent, autonomous learner</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Design experiments to investigate pharmacological phenomena; and recognise strategies to mitigate bias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and apply extensive knowledge and understanding of research methods and skills; along with the ethical implications for equality, diversity, and inclusivity of pharmacological research</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Apply subject knowledge and understanding to the solving of problems by using innovative methods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Implement strategies to perform subject-related practical work safely, and understand and comply with ethical and safety regulations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F"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Plan, conduct and report on an individual research project</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0"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Locate, critically evaluate, integrate, and synthesise information from multiple sources, including both primary data and secondary sources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31"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Assemble and interpret data from a variety of sources (including academic literature) to discern and establish connections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4"/>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requirements are embedded as follows:</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Navigate is embedded into Scientific and Laboratory Skills module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Explore is embedded into Microbiology, Research Methods and Skills module</w:t>
      </w:r>
    </w:p>
    <w:p w:rsidRPr="2030048C" w:rsidP="2030048C">
      <w:pPr>
        <w:numPr>
          <w:ilvl w:val="0"/>
          <w:numId w:val="15"/>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The Future Skills Apply module is delivered at Level 6.</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Pharmacology</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Pharmacology</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Genes to Tissues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Human Physiology with Pharmacology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Biochemistry</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LS4015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Scientific and Laboratory Skills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LS4003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4 to level 5 with 90 credits at level 4 or above, unless specific module prerequisites prevent trailing of credit. The outstanding 30 credits from level 4 can be trailed into level 5 and must be passed before progression to level 6.</w:t>
      </w:r>
    </w:p>
    <w:p w:rsidR="7A33046F"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are eligible for the award of Certificate of Higher Education.</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Pharmacology</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Applied Pharmacology with Toxicology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Clinical Pharmacology</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LS5032</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Microbiology, Research Methods and Skills</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LS5030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Molecular Biology of the Cell</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Progression to Level 6</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This course permits progression from level 5 to level 6 with 90 credits at level 5 or above. The outstanding 30 credits from level 5 can be trailed into level 6 and must be passed before consideration for an award.</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Exit Awards at Level 5</w:t>
      </w:r>
    </w:p>
    <w:p w:rsidR="3891A81D"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are eligible for the award of Diploma of Higher Education.</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BSc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Pharmacology</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Drugs, Brain and Behaviour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LS6027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Medicines from Lab to Launch</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LS6046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Pharmacotherapy of Infection and Cancer</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LS6038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6"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Project (Bioscience)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LS6014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without completing the full 120 credits but have successfully completed 60 credits at level 6 or above are eligible for the award of an Ordinary Degree.</w:t>
      </w:r>
    </w:p>
    <w:p w:rsidR="66934EB1" w:rsidP="2030048C" w14:textId="25B67DE5">
      <w:pPr>
        <w:rPr>
          <w:rFonts w:ascii="Arial" w:eastAsia="Arial" w:hAnsi="Arial" w:cs="Arial"/>
          <w:color w:val="000000" w:themeColor="text1"/>
          <w:sz w:val="24"/>
          <w:szCs w:val="24"/>
          <w:lang w:val="en-GB"/>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Pharmacology (with Professional Placement)</w:t>
      </w:r>
    </w:p>
    <w:p w:rsidR="008B5CAF" w:rsidRPr="008B5CAF" w:rsidP="008B5CAF" w14:textId="77777777">
      <w:pPr>
        <w:rPr>
          <w:rFonts w:eastAsia="Arial"/>
        </w:rPr>
      </w:pPr>
    </w:p>
    <w:p w:rsidR="035B6837" w:rsidP="2030048C"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B"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textId="30F3F3B7">
            <w:pPr>
              <w:rPr>
                <w:rFonts w:ascii="Arial" w:eastAsia="Arial" w:hAnsi="Arial" w:cs="Arial"/>
              </w:rPr>
            </w:pPr>
            <w:r w:rsidRPr="66934EB1">
              <w:rPr>
                <w:rFonts w:ascii="Arial" w:eastAsia="Arial" w:hAnsi="Arial" w:cs="Arial"/>
                <w:b/>
                <w:bCs/>
              </w:rPr>
              <w:t>Level 5</w:t>
            </w:r>
          </w:p>
        </w:tc>
      </w:tr>
      <w:tr w14:paraId="1514BE76"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textId="73F14FE4">
            <w:pPr>
              <w:rPr>
                <w:rFonts w:ascii="Arial" w:eastAsia="Arial" w:hAnsi="Arial" w:cs="Arial"/>
                <w:lang w:val="en-GB"/>
              </w:rPr>
            </w:pPr>
            <w:r w:rsidRPr="2030048C">
              <w:rPr>
                <w:rFonts w:ascii="Arial" w:eastAsia="Arial" w:hAnsi="Arial" w:cs="Arial"/>
                <w:b/>
                <w:bCs/>
                <w:lang w:val="en-GB"/>
              </w:rPr>
              <w:t>BSc (Hons)</w:t>
            </w:r>
            <w:r w:rsidRPr="2030048C">
              <w:rPr>
                <w:rFonts w:ascii="Arial" w:eastAsia="Arial" w:hAnsi="Arial" w:cs="Arial"/>
                <w:b/>
                <w:bCs/>
                <w:lang w:val="en-GB"/>
              </w:rPr>
              <w:t xml:space="preserve"> </w:t>
            </w:r>
            <w:r w:rsidRPr="2030048C">
              <w:rPr>
                <w:rFonts w:ascii="Arial" w:eastAsia="Arial" w:hAnsi="Arial" w:cs="Arial"/>
                <w:b/>
                <w:bCs/>
                <w:lang w:val="en-GB"/>
              </w:rPr>
              <w:t>Pharmacology (with Professional Placement)</w:t>
            </w:r>
          </w:p>
        </w:tc>
      </w:tr>
      <w:tr w14:paraId="6F03CED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8"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Professional placement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LS5200</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120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TY13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textId="7597772D">
      <w:pPr>
        <w:rPr>
          <w:rFonts w:ascii="Arial" w:eastAsia="Arial" w:hAnsi="Arial" w:cs="Arial"/>
          <w:color w:val="0070C0"/>
          <w:sz w:val="24"/>
          <w:szCs w:val="24"/>
        </w:rPr>
      </w:pPr>
    </w:p>
    <w:p w:rsidR="3891A81D" w:rsidRPr="2030048C" w:rsidP="2030048C"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at this point who have successfully completed 120 credits at level 5 or above, plus the placement module, are eligible for the award of Diploma of Higher Education with Professional Placement.</w:t>
      </w:r>
    </w:p>
    <w:p w:rsidR="66934EB1" w:rsidP="2030048C" w14:textId="5C84D198">
      <w:pPr>
        <w:rPr>
          <w:rFonts w:ascii="Arial" w:eastAsia="Arial" w:hAnsi="Arial" w:cs="Arial"/>
          <w:color w:val="000000" w:themeColor="text1" w:themeShade="FF" w:themeTint="FF"/>
          <w:sz w:val="24"/>
          <w:szCs w:val="24"/>
          <w:lang w:val="en-GB"/>
        </w:rPr>
      </w:pPr>
    </w:p>
    <w:p w:rsidR="66934EB1" w:rsidP="540725A5" w14:textId="65ECFB32">
      <w:pPr>
        <w:rPr>
          <w:rFonts w:ascii="Arial" w:eastAsia="Arial" w:hAnsi="Arial" w:cs="Arial"/>
          <w:color w:val="FF0000"/>
          <w:sz w:val="24"/>
          <w:szCs w:val="24"/>
        </w:rPr>
      </w:pPr>
    </w:p>
    <w:p w:rsidR="66934EB1" w:rsidRPr="00D92363" w:rsidP="66934EB1" w14:textId="01ADAC37">
      <w:pPr>
        <w:rPr>
          <w:rFonts w:ascii="Arial" w:eastAsia="Arial" w:hAnsi="Arial" w:cs="Arial"/>
          <w:color w:val="FF0000"/>
        </w:rPr>
      </w:pPr>
    </w:p>
    <w:p w:rsidR="66934EB1" w:rsidP="2030048C"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BSc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Pharmacology (with Foundation Year)</w:t>
      </w:r>
    </w:p>
    <w:p w:rsidR="008B5CAF" w:rsidRPr="008B5CAF" w:rsidP="008B5CAF" w14:textId="77777777">
      <w:pPr>
        <w:rPr>
          <w:rFonts w:eastAsia="Arial"/>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rPr>
          <w:rFonts w:ascii="Arial" w:eastAsia="Arial" w:hAnsi="Arial" w:cs="Arial"/>
          <w:sz w:val="24"/>
          <w:szCs w:val="24"/>
        </w:rPr>
      </w:pPr>
      <w:r w:rsidRPr="2030048C">
        <w:rPr>
          <w:rFonts w:ascii="Arial" w:eastAsia="Arial" w:hAnsi="Arial" w:cs="Arial"/>
          <w:sz w:val="24"/>
          <w:szCs w:val="24"/>
        </w:rPr>
        <w:t>This course uses a range of teaching and assessment methods which have been designed to support students’ learning and achievement of the learning outcomes. The course has been developed with reference to the Kingston University Academic Framework which sets-out core principles relating to Course and Credit Structure (including Module delivery Structure and Pattern, and Learning Hours and Learning Formats); Curriculum Design (inclusion Learning Design Principles and Inclusive Curriculum); and Future Skills.</w:t>
      </w:r>
    </w:p>
    <w:p w:rsidRPr="2030048C" w:rsidP="2030048C">
      <w:pPr>
        <w:rPr>
          <w:rFonts w:ascii="Arial" w:eastAsia="Arial" w:hAnsi="Arial" w:cs="Arial"/>
          <w:sz w:val="24"/>
          <w:szCs w:val="24"/>
        </w:rPr>
      </w:pPr>
      <w:r w:rsidRPr="2030048C">
        <w:rPr>
          <w:rFonts w:ascii="Arial" w:eastAsia="Arial" w:hAnsi="Arial" w:cs="Arial"/>
          <w:sz w:val="24"/>
          <w:szCs w:val="24"/>
        </w:rPr>
        <w:t>Teaching and Learning on the course consist of Scheduled Learning and Teaching and Guided Independent Study (self-managed time). Scheduled Learning and Teaching includes the following, and the format for each module is set out in the module specification:</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Laboratory Sessions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Lectures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Seminars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Tutorials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Workshops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sz w:val="24"/>
          <w:szCs w:val="24"/>
        </w:rPr>
        <w:t>Placements</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Guidance for students on the use of independent study time is communicated through the ‘Succeed in your module’ section on the Canvas Virtual Learning Environment and through other communications during the course.</w:t>
      </w:r>
    </w:p>
    <w:p w:rsidRPr="2030048C" w:rsidP="2030048C">
      <w:pPr>
        <w:rPr>
          <w:rFonts w:ascii="Arial" w:eastAsia="Arial" w:hAnsi="Arial" w:cs="Arial"/>
          <w:sz w:val="24"/>
          <w:szCs w:val="24"/>
        </w:rPr>
      </w:pPr>
      <w:r w:rsidRPr="2030048C">
        <w:rPr>
          <w:rFonts w:ascii="Arial" w:eastAsia="Arial" w:hAnsi="Arial" w:cs="Arial"/>
          <w:sz w:val="24"/>
          <w:szCs w:val="24"/>
        </w:rPr>
        <w:t>In addition to the core Scheduled Learning and Teaching activities for the course, the University may offer students additional optional opportunities for learning. Examples of these include Study abroad and Work-based learning.</w:t>
      </w:r>
    </w:p>
    <w:p w:rsidRPr="2030048C" w:rsidP="2030048C">
      <w:pPr>
        <w:rPr>
          <w:rFonts w:ascii="Arial" w:eastAsia="Arial" w:hAnsi="Arial" w:cs="Arial"/>
          <w:sz w:val="24"/>
          <w:szCs w:val="24"/>
        </w:rPr>
      </w:pPr>
      <w:r w:rsidRPr="2030048C">
        <w:rPr>
          <w:rFonts w:ascii="Arial" w:eastAsia="Arial" w:hAnsi="Arial" w:cs="Arial"/>
          <w:sz w:val="24"/>
          <w:szCs w:val="24"/>
        </w:rPr>
        <w:t>The course will provide students with the opportunity to develop their knowledge and skills relating to at least two United Nations Sustainable Development Goals (UN SDGs). We are committed to empowering students with the knowledge, skills and opportunities to understand and address the UN SDGs: each course is thus also required to prepare students for at least two of the SDGs (not including Quality Education, which all courses must deliver).</w:t>
      </w:r>
    </w:p>
    <w:p w:rsidRPr="2030048C" w:rsidP="2030048C">
      <w:pPr>
        <w:rPr>
          <w:rFonts w:ascii="Arial" w:eastAsia="Arial" w:hAnsi="Arial" w:cs="Arial"/>
          <w:sz w:val="24"/>
          <w:szCs w:val="24"/>
        </w:rPr>
      </w:pPr>
      <w:r w:rsidRPr="2030048C">
        <w:rPr>
          <w:rFonts w:ascii="Arial" w:eastAsia="Arial" w:hAnsi="Arial" w:cs="Arial"/>
          <w:sz w:val="24"/>
          <w:szCs w:val="24"/>
        </w:rPr>
        <w:t> </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rPr>
          <w:rFonts w:ascii="Arial" w:eastAsia="Arial" w:hAnsi="Arial" w:cs="Arial"/>
          <w:sz w:val="24"/>
          <w:szCs w:val="24"/>
        </w:rPr>
      </w:pPr>
      <w:r w:rsidRPr="2030048C">
        <w:rPr>
          <w:rFonts w:ascii="Arial" w:eastAsia="Arial" w:hAnsi="Arial" w:cs="Arial"/>
          <w:sz w:val="24"/>
          <w:szCs w:val="24"/>
        </w:rPr>
        <w:t>Students are supported through a range of services that provide academic and wider support. These include:</w:t>
      </w:r>
    </w:p>
    <w:p w:rsidRPr="2030048C" w:rsidP="2030048C">
      <w:pPr>
        <w:ind w:left="570"/>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Module Leader for each module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Course Leader to help students understand the course structure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Personal Tutors to provide academic and personal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Technical support to advise students on IT and the use of software</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Voice Committee – to ensure the views of students are heard</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Canvas – Kingston University’s Virtual Learning Environment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support facilities that can provide advice on issues such as finance, regulations, legal matters, accommodation, international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Disabled student support</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The Kingston Students’ Union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Development and Graduate Success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 designated programme administrator</w:t>
      </w:r>
      <w:r w:rsidRPr="2030048C">
        <w:rPr>
          <w:rFonts w:ascii="Arial" w:eastAsia="Arial" w:hAnsi="Arial" w:cs="Arial"/>
          <w:sz w:val="22"/>
          <w:szCs w:val="22"/>
        </w:rPr>
        <w:t xml:space="preserve"> </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 induction week at the beginning of each new academic session</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Mental Health and Wellbeing support teams</w:t>
      </w:r>
    </w:p>
    <w:p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Student membership to the British Pharmacological Society (BPS)</w:t>
      </w:r>
    </w:p>
    <w:p w:rsidRPr="2030048C" w:rsidP="2030048C">
      <w:pPr>
        <w:pStyle w:val="Heading2"/>
        <w:ind w:left="570"/>
        <w:outlineLvl w:val="1"/>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rPr>
          <w:rFonts w:ascii="Arial" w:eastAsia="Arial" w:hAnsi="Arial" w:cs="Arial"/>
          <w:sz w:val="24"/>
          <w:szCs w:val="24"/>
        </w:rPr>
      </w:pPr>
      <w:r w:rsidRPr="2030048C">
        <w:rPr>
          <w:rFonts w:ascii="Arial" w:eastAsia="Arial" w:hAnsi="Arial" w:cs="Arial"/>
          <w:sz w:val="24"/>
          <w:szCs w:val="24"/>
        </w:rPr>
        <w:t>The University has policies and procedures for evaluating and improving the quality and standards of its provision. These include:</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Continuous Monitoring of courses through the Kingston Course Enhancement Programme (KCEP)</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Student evaluation including Module Evaluation Questionnaires (MEQs), the National Student Survey (NSS)</w:t>
      </w:r>
    </w:p>
    <w:p w:rsidR="3D0EBCB8"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Internal and external moderation</w:t>
      </w:r>
      <w:r w:rsidRPr="2030048C">
        <w:rPr>
          <w:rFonts w:ascii="Arial" w:eastAsia="Arial" w:hAnsi="Arial" w:cs="Arial"/>
          <w:sz w:val="24"/>
          <w:szCs w:val="24"/>
        </w:rPr>
        <w:t> of graded assignments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9"/>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070"/>
        <w:gridCol w:w="224"/>
        <w:gridCol w:w="550"/>
        <w:gridCol w:w="550"/>
        <w:gridCol w:w="550"/>
        <w:gridCol w:w="550"/>
        <w:gridCol w:w="550"/>
        <w:gridCol w:w="550"/>
        <w:gridCol w:w="550"/>
        <w:gridCol w:w="550"/>
        <w:gridCol w:w="550"/>
        <w:gridCol w:w="550"/>
        <w:gridCol w:w="550"/>
        <w:gridCol w:w="550"/>
        <w:gridCol w:w="550"/>
        <w:gridCol w:w="566"/>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5"/>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LS4003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LS4014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LS5200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LS5030</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LS5032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LS6038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LS6014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LS6046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LS6027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bl>
    <w:p w:rsidR="00CE2BD2"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Pr="2030048C" w:rsidP="2030048C" w14:paraId="0E005814" w14:textId="395E719D">
      <w:pPr>
        <w:rPr>
          <w:rFonts w:ascii="Arial" w:eastAsia="Arial" w:hAnsi="Arial" w:cs="Arial"/>
          <w:sz w:val="24"/>
          <w:szCs w:val="24"/>
        </w:rPr>
      </w:pPr>
      <w:r w:rsidRPr="2030048C">
        <w:rPr>
          <w:rFonts w:ascii="Arial" w:eastAsia="Arial" w:hAnsi="Arial" w:cs="Arial"/>
          <w:sz w:val="24"/>
          <w:szCs w:val="24"/>
        </w:rPr>
        <w:t>Students may enter the course at the end of September. </w:t>
      </w:r>
    </w:p>
    <w:p w:rsidRPr="2030048C" w:rsidP="2030048C">
      <w:pPr>
        <w:rPr>
          <w:rFonts w:ascii="Arial" w:eastAsia="Arial" w:hAnsi="Arial" w:cs="Arial"/>
          <w:sz w:val="24"/>
          <w:szCs w:val="24"/>
        </w:rPr>
      </w:pPr>
      <w:r w:rsidRPr="2030048C">
        <w:rPr>
          <w:rFonts w:ascii="Arial" w:eastAsia="Arial" w:hAnsi="Arial" w:cs="Arial"/>
          <w:sz w:val="24"/>
          <w:szCs w:val="24"/>
        </w:rPr>
        <w:t>All modules are taught across Autumn and Spring terms (TY13) from September - April in all years.</w:t>
      </w:r>
      <w:r w:rsidRPr="2030048C">
        <w:rPr>
          <w:rFonts w:ascii="Arial" w:eastAsia="Arial" w:hAnsi="Arial" w:cs="Arial"/>
          <w:sz w:val="24"/>
          <w:szCs w:val="24"/>
        </w:rPr>
        <w:br/>
      </w: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br/>
      </w:r>
      <w:r w:rsidRPr="2030048C">
        <w:rPr>
          <w:rFonts w:ascii="Arial" w:eastAsia="Arial" w:hAnsi="Arial" w:cs="Arial"/>
          <w:sz w:val="24"/>
          <w:szCs w:val="24"/>
        </w:rPr>
        <w:t> </w:t>
      </w:r>
    </w:p>
    <w:p w:rsidR="0184B557" w:rsidP="2030048C"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CE2C9B4F-A35C-4CED-86B9-60F42CAFCDCD}"/>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