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Pharmaceutical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Pharmaceutical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Pharmaceutical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UFPSC1PSC04</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BB22</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 (with Regulatory Affairs)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 with Regulatory Affairs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Pharmaceutical Science (with Regulatory Affairs)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Pharmaceutical Science with Regulatory Affairs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UFPSR1PSR20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Pharmaceutical Science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Pharmaceutical Science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UFPSC1PSC45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 (with Foundation Year)</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Pharmaceutical Science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Pharmaceutical Science</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UFPSC1PSC55</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 upon Thames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Academy of Pharmaceutical Sciences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UR.</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all students who take the pharmaceutical science course, including those on the regulatory affairs pathway, with an in-depth knowledge and understanding of the core areas of pharmaceutical science.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introduce students to the design, synthesis, and development of drugs through the study of appropriate examples.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enable students to develop their independent learning skills using primary and secondary literature sources.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enable students to develop subject related practical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students with the opportunity to develop their digital, written, and oral communication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prepare students for graduate employment, both scientific and otherwise, and study for a higher degree, whether taught or by research, by developing their intellectual, problem-solving, teamwork and analytical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a comprehensive understanding of the pivotal role pharmaceutical science plays in addressing worldwide health challenges, by encouraging the students to be champions of change.</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Additionally for students taking the Regulatory Affairs Pathway:</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students with an in-depth knowledge and understanding of core national and international pharmaceutical regulatory affairs and their application in pharmaceutical manufacturing, enabling students to apply regulatory requirements and guidance to medicines and medicinal products.</w:t>
      </w:r>
      <w:r w:rsidRPr="2030048C">
        <w:rPr>
          <w:rStyle w:val="normaltextrun"/>
          <w:rFonts w:ascii="Arial" w:hAnsi="Arial" w:cs="Arial"/>
          <w:color w:val="000000" w:themeColor="text1"/>
          <w:sz w:val="24"/>
          <w:szCs w:val="24"/>
          <w:shd w:val="clear" w:color="auto" w:fill="FFFFFF"/>
        </w:rPr>
        <w:t>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sz w:val="24"/>
          <w:szCs w:val="24"/>
          <w:shd w:val="clear" w:color="auto" w:fill="FFFFFF"/>
        </w:rPr>
        <w:t>Additionally, for those BSc students following the professional placement programme: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enable students to complete a period of work experience in an area of pharmaceutical science which is related to their studies and to enhance, using this experience, their knowledge of career opportunities in the academic, pharmaceutical, and related areas.</w:t>
      </w: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and understanding of the core areas of pharmaceutical science including organic chemistry, bioanalysis, pharmaceutical chemistry, introductory biology, pharmacology, toxicology and immunology, pharmaceutics and drug delivery.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laboratory work in chemistry, life science and related subjects in a safe, competent and professional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the mathematical, statistical and computational skills necessary for working in a scientific capacity in an academic, commercial or industrial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understanding and empathy in the collaborative solving of global challenges by using inclusive and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COSHH safety assessments for any experiment and perform laboratory techniques safely and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Competently and safely use  a variety of modern scientific instruments and computers with dedicated software specific  to areas of pharmaceutical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conduct and report on complex experiments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and understanding of the regulations applicable to the development, testing and marketing of pharmaceutical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rigorous data analysis from a variety of sources to discern and establish connections and contradictions.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scientific instruments, understand the principles of their operation and obtain reproducible experimental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Introduction to the use of use relevant guidelines for example those from the ICH, EMA, and MHRA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company/organisation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interpersonal and time management skills by working within a team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Our BSc Pharmaceutical science degrees embed the United Nations Sustainable Development Goals (UNSDGs) to prepare students for impactful careers in the pharmaceutical sector particularly UNSDG 3 - Good Health and Wellbeing, 10 - Reduced Inequalities, 12 – Responsible Consumption and Production and 17 – Partnership for the Goals. Through curricula incorporating aspects of global health / social &amp; environmental sustainability / and ethical approaches to pharmaceutical science practices, students gain a comprehensive understanding of the critical role pharmaceutical science plays in addressing worldwide challenges in health. This approach equips graduates with the knowledge and skills to contribute to sustainable solutions in drug development and healthcare delivery.</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 level 3 modules, see Programme Specification for Foundation Year in Science.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Academic Skills for Molecular Sciences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Practical and Research Skills in Pharmaceutical Science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Skills for Molecular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Foundations: From Atoms to Pharmaceuticals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Biosciences and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Pharmaceutical Concepts, Analysis, and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shd w:val="clear" w:color="auto" w:fill="FFFFFF"/>
        </w:rPr>
        <w:t>This course permits progression from level 4 to level 5 with 90 credits at level 4 or above. The outstanding 30 credits from level 4 can be trailed into level 5 and must be passed before progression to level 6.</w:t>
      </w:r>
      <w:r w:rsidRPr="2030048C">
        <w:rPr>
          <w:rStyle w:val="normaltextrun"/>
          <w:rFonts w:ascii="Arial" w:eastAsia="Arial" w:hAnsi="Arial" w:cs="Arial"/>
          <w:color w:val="000000" w:themeColor="text1" w:themeShade="FF" w:themeTint="FF"/>
          <w:sz w:val="22"/>
          <w:szCs w:val="22"/>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2"/>
          <w:szCs w:val="22"/>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Pharmaceutical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 with Global Medicine and Personalised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Formulation and Pharmaceutics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Practical and Research Skills in Pharmaceutical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pStyle w:val="paragrap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Students who are registered on the professional placement route must successfully complete Levels 4 and 5, before undertaking a period of at least 36 weeks of supervised work experience.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Analytical Techniques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Formulation and Drug Delivery in Pharmaceutical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Drug Development – Bench to Bedside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BSc Pharmaceutical Science.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 (with Regulatory Affairs)</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 (with Regulatory Affairs)</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Skills for Molecular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Foundations: From Atoms to Pharmaceuticals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Biosciences and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Pharmaceutical Concepts, Analysis, and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Pharmaceutical Science (with Regulatory Affairs)</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 with Global Medicine and Personalised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Formulation and Pharmaceutics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Practical and Research Skills in Pharmaceutical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pStyle w:val="paragrap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r w:rsidRPr="2030048C">
        <w:rPr>
          <w:rStyle w:val="normaltextrun"/>
          <w:rFonts w:ascii="Arial" w:eastAsia="Arial" w:hAnsi="Arial" w:cs="Arial"/>
          <w:color w:val="000000" w:themeColor="text1" w:themeShade="FF" w:themeTint="FF"/>
          <w:sz w:val="24"/>
          <w:szCs w:val="24"/>
        </w:rPr>
        <w:t> </w:t>
      </w:r>
    </w:p>
    <w:p w:rsidR="3891A81D" w:rsidRPr="2030048C" w:rsidP="2030048C">
      <w:pPr>
        <w:pStyle w:val="paragrap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r w:rsidRPr="2030048C">
        <w:rPr>
          <w:rStyle w:val="normaltextrun"/>
          <w:rFonts w:ascii="Arial" w:eastAsia="Arial" w:hAnsi="Arial" w:cs="Arial"/>
          <w:color w:val="000000"/>
          <w:sz w:val="24"/>
          <w:szCs w:val="24"/>
        </w:rPr>
        <w:t>Students who are registered on the professional placement route must successfully complete Levels 4 and 5, before undertaking a period of at least 36 weeks of supervised work experience. </w:t>
      </w: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 (with Regulatory Affairs)</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Analytical Techniques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Formulation and Drug Delivery in Pharmaceutical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Regulatory Affairs For Pharmaceutical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Pharmaceutical Science (with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Academy of Pharmaceutical Science</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The Academy of Pharmaceutical Scientists – APS - (</w:t>
      </w:r>
      <w:hyperlink r:id="rId11" w:tgtFrame="_blank" w:history="1">
        <w:r w:rsidRPr="2030048C">
          <w:rPr>
            <w:rFonts w:ascii="Arial" w:eastAsia="Arial" w:hAnsi="Arial" w:cs="Arial"/>
            <w:color w:val="0000FF"/>
            <w:sz w:val="22"/>
            <w:szCs w:val="22"/>
          </w:rPr>
          <w:t>www.apsgb.co.uk</w:t>
        </w:r>
      </w:hyperlink>
      <w:r w:rsidRPr="2030048C">
        <w:rPr>
          <w:rFonts w:ascii="Arial" w:eastAsia="Arial" w:hAnsi="Arial" w:cs="Arial"/>
          <w:sz w:val="22"/>
          <w:szCs w:val="22"/>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2"/>
          <w:szCs w:val="22"/>
        </w:rPr>
        <w:t>The Organisation for Professionals in Regulatory Affairs - TOPRA - (</w:t>
      </w:r>
      <w:hyperlink r:id="rId12" w:tgtFrame="_blank" w:history="1">
        <w:r w:rsidRPr="2030048C">
          <w:rPr>
            <w:rFonts w:ascii="Arial" w:eastAsia="Arial" w:hAnsi="Arial" w:cs="Arial"/>
            <w:color w:val="0000FF"/>
            <w:sz w:val="22"/>
            <w:szCs w:val="22"/>
          </w:rPr>
          <w:t>www.topra.org</w:t>
        </w:r>
      </w:hyperlink>
      <w:r w:rsidRPr="2030048C">
        <w:rPr>
          <w:rFonts w:ascii="Arial" w:eastAsia="Arial" w:hAnsi="Arial" w:cs="Arial"/>
          <w:sz w:val="22"/>
          <w:szCs w:val="22"/>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76"/>
        <w:gridCol w:w="204"/>
        <w:gridCol w:w="524"/>
        <w:gridCol w:w="524"/>
        <w:gridCol w:w="524"/>
        <w:gridCol w:w="524"/>
        <w:gridCol w:w="524"/>
        <w:gridCol w:w="524"/>
        <w:gridCol w:w="502"/>
        <w:gridCol w:w="524"/>
        <w:gridCol w:w="524"/>
        <w:gridCol w:w="524"/>
        <w:gridCol w:w="524"/>
        <w:gridCol w:w="524"/>
        <w:gridCol w:w="516"/>
        <w:gridCol w:w="524"/>
        <w:gridCol w:w="52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CH6400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topra.or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apsgb.co.uk/"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7994FC4-B3AB-4264-89DF-B241DDD9AB8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