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Nutrition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DipHE Nutrition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Nutrition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CertHE Nutrition</w:t>
            </w:r>
            <w:r>
              <w:br/>
            </w:r>
            <w:r w:rsidRPr="2030048C" w:rsidR="71C545CA">
              <w:rPr>
                <w:rFonts w:ascii="Arial" w:eastAsia="Arial" w:hAnsi="Arial" w:cs="Arial"/>
                <w:b w:val="0"/>
                <w:bCs w:val="0"/>
                <w:sz w:val="24"/>
                <w:szCs w:val="24"/>
                <w:lang w:val="en-GB"/>
              </w:rPr>
              <w:t>BSc (Hons) Nutrition Studies</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UFNUT1NUT20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B400/B402</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 HE Nutrition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Nutrition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 HE Nutrition with Professional Placement</w:t>
            </w:r>
            <w:r>
              <w:br/>
            </w:r>
            <w:r w:rsidRPr="2030048C" w:rsidR="71C545CA">
              <w:rPr>
                <w:rFonts w:ascii="Arial" w:eastAsia="Arial" w:hAnsi="Arial" w:cs="Arial"/>
                <w:b w:val="0"/>
                <w:bCs w:val="0"/>
                <w:sz w:val="24"/>
                <w:szCs w:val="24"/>
                <w:lang w:val="en-GB"/>
              </w:rPr>
              <w:t>BSc (Hons) Nutrition Studies with Professional Placement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USNUT1NUT01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 HE Nutrition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Nutrition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 HE Nutrition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UFNUT1NUT55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Association for Nutrition</w:t>
            </w:r>
            <w:r w:rsidRPr="2030048C">
              <w:rPr>
                <w:rStyle w:val="normaltextrun"/>
                <w:rFonts w:ascii="Calibri" w:eastAsia="Calibri" w:hAnsi="Calibri" w:cs="Calibri"/>
                <w:b w:val="0"/>
                <w:bCs w:val="0"/>
                <w:color w:val="000000"/>
                <w:sz w:val="22"/>
                <w:szCs w:val="22"/>
                <w:shd w:val="clear" w:color="auto" w:fill="FFFFFF"/>
              </w:rPr>
              <w:t xml:space="preserve"> (AfN)</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 professional and statutory regulatory body requirement that the modules LS4013, LS5019, LS6032, LS6033 and LS6035 must be passed and cannot be compensated.Modules LS4013 and LS5019 cannot be trailed. For these modules, all elements of assessment must be passed to pass the module (as per PSRB requirements).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main aims of the BSc (Hons) Nutrition programme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all students who take the programme with an in-depth knowledge and understanding of the core elements of human nutrition;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a foundation in the biosciences fundamental to the study of human nutrition;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identify, locate and critically appraise primary and secondary sources as a basis for independent study;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undertake a focussed independent research study in a specialised area of human nutrition, informed by an understanding of appropriate research methods and skills in critical appraisal;</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develop subject related practical skills and professional competence in the collection, analysis, interpretation and representation of basic scientific, and nutritional, data and information;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extend and apply students’ knowledge of core human nutrition to specialist areas of human nutrition;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afford students with the opportunities to develop their written and oral communication skills;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students for graduate employment, research, further study and lifelong learning by developing their intellectual, problem solving, practical and key (transferable)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produce undergraduates with a knowledge and skills base that allow pursuit of careers in a variety of work environments such as in the food and pharmaceutical industries, local government, agencies and departments of national government and clinically-related employment (including research);</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make available training and development in relevant software programmes;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give students the experience of interacting with nutritionists, public health nutritionists and dieticians working in the private and public sectors.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 aim of the BSc (Hons) Nutrition with professional placement is: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provide a work based environment in which students can apply their knowledge and understanding of nutrition and the basic sciences combined.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food chain and its impact on food choice. Integrating the food supply with dietary intake (AfN Core Competency 2).</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information from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ethical and safety issues, including implications of copyright and data protection, preparing completed CoSHH forms and conducting risk assessments and the correct handling of biological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scientific basis of nutrition (including those subjects that complement the study of nutrition – biochemistry, physiology, immunology and pharmacology and microbiology) and of nutritional requirements from the molecular through to the population level – for either human or animal systems (AfN Core Competency 1).</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by use of appropriate learning technologies and management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Efficiently perform practical techniques required for food science and food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Food in a social or behavioural context, at all stages of the lifecourse (AfN Core Competency 3).</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techniques commonly used in assessing nutritional status and to demonstrate competency in these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to apply the scientific principles of nutrition for the promotion of health and well being of individuals, groups and populations; recognising benefits and risks (AfN Core Competency 4).</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data obtained using nutritional assessment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Professional Conduct and the nutritionists Code of Ethics along with evidence of good character (AfN Core Competency 5) and a broader knowledge of the career opportunities in areas related to human nutrition.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(including academic literature)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techniques to analyse dietary intake data and demonstrate skills in the interpretation and utilization of these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It is a requirement of the accrediting body 'Association for Nutrition (AfN)’ that students pass all elements of assessments in the following modules: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Introduction to Food and Nutrition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Applied Nutrition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Public Health Nutrition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Contemporary Issues in Food and Nutrition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Sport, Exercise and Nutrition Project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If students do not pass all elements of assessment in these modules, after all assessment opportunities have been attempted but pass the modules on aggregate, students cannot be awarded the accredited BSc (Hons) Nutrition award and will be awarded the non-accredited BSc (Hons) Nutrition Studies award.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Food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7A33046F"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students pass all elements of assessment on module LS4013 and pass all other modules on aggregate can be awarded Cert HE Nutrition</w:t>
      </w:r>
    </w:p>
    <w:p w:rsidR="7A33046F"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students pass all modules on aggregate (but have not passed all elements of assessment LS4013) can be awarded Cert HE Nutrition Studies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a requirement of the accrediting body ‘'Association for Nutrition (AfN)’ that students pass all elements of assessments in module ‘Introduction to Food and Nutrition’. If students do not pass all elements of assessment in this module, after all assessment opportunities have been attempted but pass the module on aggregate, students cannot be awarded the accredited BSc (Hons) Nutrition award but will be transferred on to the non-accredited BSc (Hons) Nutrition Studies award and can progress to level 5, providing all other remaining modules have been passed in line with Kingston University's regulations.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Nutrition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Nutrition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w:t>
      </w:r>
    </w:p>
    <w:p w:rsidR="3891A81D"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students pass all elements of assessment on module LS5019 and pass all other modules on aggregate can be awarded DipHE Nutrition</w:t>
      </w:r>
    </w:p>
    <w:p w:rsidR="3891A81D"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students pass all modules on aggregate (but have not passed all elements of assessment LS5019) can be awarded DipHE Nutrition Studies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a requirement of the accrediting body ‘'Association for Nutrition (AfN)’ that students pass all elements of assessments in module ‘Applied Nutrition’. If students do not pass all elements of assessment in this module, after all assessment opportunities have been attempted but pass the module on aggregate, students cannot be awarded the accredited BSc (Hons) Nutrition award but will be transferred on to the non-accredited BSc (Hons) Nutrition Studies award and can progress to level 6, providing all other remaining modules have been passed in line with Kingston University's regulations.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Food and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Haematology and Transfusion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Human Physiology(LS4004)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Sport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a requirement of the accrediting body ‘'Association for Nutrition (AfN)’ that students pass all elements of assessments in module ‘Public Health Nutrition,Contemporary Issues in Food and Nutrition and Sport, Exercise and Nutrition Project'. If students do not pass all elements of assessment in these modules, after all assessment opportunities have been attempted but pass the modules on aggregate, students cannot graduate with the accredited BSc (Hons) Nutrition award and will instead be eligible for the non-accredited BSc (Hons) Nutrition Studies award.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Nutrition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LS5200 Professional Placement </w:t>
      </w:r>
      <w:r w:rsidRPr="2030048C">
        <w:rPr>
          <w:rStyle w:val="normaltextrun"/>
          <w:rFonts w:ascii="Arial" w:eastAsia="Arial" w:hAnsi="Arial" w:cs="Arial"/>
          <w:color w:val="000000" w:themeColor="text1" w:themeShade="FF" w:themeTint="FF"/>
          <w:sz w:val="24"/>
          <w:szCs w:val="24"/>
        </w:rPr>
        <w:t>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Asynchronous activities that are time bound and have specified (scheduled) learning hours allocated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 IBMS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40"/>
        <w:gridCol w:w="238"/>
        <w:gridCol w:w="1"/>
        <w:gridCol w:w="585"/>
        <w:gridCol w:w="1"/>
        <w:gridCol w:w="585"/>
        <w:gridCol w:w="1"/>
        <w:gridCol w:w="585"/>
        <w:gridCol w:w="1"/>
        <w:gridCol w:w="584"/>
        <w:gridCol w:w="1"/>
        <w:gridCol w:w="1"/>
        <w:gridCol w:w="585"/>
        <w:gridCol w:w="1"/>
        <w:gridCol w:w="585"/>
        <w:gridCol w:w="1"/>
        <w:gridCol w:w="585"/>
        <w:gridCol w:w="1"/>
        <w:gridCol w:w="585"/>
        <w:gridCol w:w="1"/>
        <w:gridCol w:w="583"/>
        <w:gridCol w:w="2"/>
        <w:gridCol w:w="1"/>
        <w:gridCol w:w="585"/>
        <w:gridCol w:w="1"/>
        <w:gridCol w:w="602"/>
        <w:gridCol w:w="1"/>
        <w:gridCol w:w="585"/>
        <w:gridCol w:w="1"/>
        <w:gridCol w:w="58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FBB1541-20E7-4C4A-8D87-28EC2CEDF3C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