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Nutrition (Human Nutrition)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(Human Nutrition)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Nutrition (Human Nutrition)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 (Human Nutrition)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 Nutrition (Human Nutrition)</w:t>
            </w:r>
            <w:r>
              <w:br/>
            </w:r>
            <w:r w:rsidRPr="2030048C" w:rsidR="71C545CA">
              <w:rPr>
                <w:rFonts w:ascii="Arial" w:eastAsia="Arial" w:hAnsi="Arial" w:cs="Arial"/>
                <w:b w:val="0"/>
                <w:bCs w:val="0"/>
                <w:sz w:val="24"/>
                <w:szCs w:val="24"/>
                <w:lang w:val="en-GB"/>
              </w:rPr>
              <w:t>BSc (Hons) Nutrition Studies (Human Nutrition)</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UFNHN1NHN01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B400/B402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(Human Nutrition)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 HE Nutrition (Human Nutrition)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 (Human Nutrition)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 HE Nutrition (Human Nutrition) with Professional Placement</w:t>
            </w:r>
            <w:r>
              <w:br/>
            </w:r>
            <w:r w:rsidRPr="2030048C" w:rsidR="71C545CA">
              <w:rPr>
                <w:rFonts w:ascii="Arial" w:eastAsia="Arial" w:hAnsi="Arial" w:cs="Arial"/>
                <w:b w:val="0"/>
                <w:bCs w:val="0"/>
                <w:sz w:val="24"/>
                <w:szCs w:val="24"/>
                <w:lang w:val="en-GB"/>
              </w:rPr>
              <w:t>BSc (Hons) Nutrition Studies (Human Nutrition)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USNHN1NHN01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(Human Nutrition)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 HE Nutrition (Human Nutrition)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 (Human Nutrition)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 HE Nutrition (Human Nutrition)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UFNHN1NHN55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Association for Nutrition</w:t>
            </w:r>
            <w:r w:rsidRPr="2030048C">
              <w:rPr>
                <w:rStyle w:val="normaltextrun"/>
                <w:rFonts w:ascii="Calibri" w:eastAsia="Calibri" w:hAnsi="Calibri" w:cs="Calibri"/>
                <w:b w:val="0"/>
                <w:bCs w:val="0"/>
                <w:color w:val="000000"/>
                <w:sz w:val="22"/>
                <w:szCs w:val="22"/>
                <w:shd w:val="clear" w:color="auto" w:fill="FFFFFF"/>
              </w:rPr>
              <w:t xml:space="preserve"> (AfN)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requirement that the modules LS4013, LS5019, LS6032, LS6033 and LS6035 must be passed and cannot be compensated.Modules LS4013 and LS5019 cannot be trailed. For these modules, all elements of assessment must be passed to pass the module (as per PSRB requirements).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main aims of the BSc (Hons) Nutrition (Human Nutrition)/BSc (Hons) Nutrition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all students who take the programme with an in-depth knowledge and understanding of the core elements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 foundation in the biosciences fundamental to the study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identify, locate and critically appraise primary and secondary sources as a basis for independent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undertake a focussed independent research study in a specialised area of human nutrition, informed by an understanding of appropriate research methods and skills in critical appraisal;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develop subject related practical skills and professional competence in the collection, analysis, interpretation and representation of basic scientific, and nutritional, data and information;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extend and apply students’ knowledge of core human nutrition to specialist areas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afford students with the opportunities to develop their written and oral communication skills;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for graduate employment, research, further study and lifelong learning by developing their intellectual, problem solving, practical and key (transferable)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produce undergraduates with a knowledge and skills base that allow pursuit of careers in a variety of work environments such as in the food and pharmaceutical industries, local government, agencies and departments of national government and clinically-related employment (including research);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make available training and development in relevant software programmes;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give students the experience of interacting with nutritionists, public health nutritionists and dieticians working in the private and public sectors.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 aim of the BSc (Hons) Nutrition (Human Nutrition)/BSc (Hons) Nutrition with professional placement is: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a work based environment in which students can apply their knowledge and understanding of nutrition and the basic sciences combined.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food chain and its impact on food choice. Integrating the food supply with dietary intake (AfN Core Competency 2).</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scientific basis of nutrition (including those subjects that complement the study of nutrition – biochemistry, physiology, immunology and pharmacology and microbiology) and of nutritional requirements from the molecular through to the population level – for either human or animal systems (AfN Core Competency 1).</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perform practical techniques required for food science and food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Food in a social or behavioural context, at all stages of the lifecourse (AfN Core Competency 3).</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techniques commonly used in assessing nutritional status and to demonstrate competency in these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apply the scientific principles of nutrition for the promotion of health and well being of individuals, groups and populations; recognising benefits and risks (AfN Core Competency 4).</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data obtained using nutritional assessment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Professional Conduct and the nutritionists Code of Ethics along with evidence of good character (AfN Core Competency 5) and a broader knowledge of the career opportunities in areas related to human nutrition.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techniques to analyse dietary intake data and demonstrate skills in the interpretation and utilization of these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a requirement of the accrediting body 'Association for Nutrition (AfN)’ that students pass all elements of assessments in the following modules: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Introduction to Food and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Applied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Public Health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Contemporary Issues in Food and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Sport, Exercise and Nutrition Project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If students do not pass all elements of assessment in these modules, after all assessment opportunities have been attempted but pass the modules on aggregate, students cannot be awarded the accredited BSc (Hons) Nutrition (Human Nutrition) award and will be awarded the non-accredited BSc (Hons) Nutrition Studies (Human Nutrition) award.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(Human Nutrition)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(Human Nutrition)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elements of assessment on module LS4013 and pass all other modules on aggregate can be awarded Cert HE Nutrition (Human Nutrition)</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modules on aggregate (but have not passed all elements of assessment LS4013) can be awarded Cert HE Nutrition Studies (Human Nutrition)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‘Introduction to Food and Nutrition’. If students do not pass all elements of assessment in this module, after all assessment opportunities have been attempted but pass the module on aggregate, students cannot be awarded the accredited BSc (Hons) Nutrition (Human Nutrition) award but will be transferred on to the non-accredited BSc (Hons) Nutrition Studies (Human Nutrition) award and can progress to level 5, providing all other remaining modules have been passed in line with Kingston University's regulations.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(Human Nutrition)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elements of assessment on module LS5019 and pass all other modules on aggregate can be awarded DipHE Nutrition (Human Nutrition)</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modules on aggregate (but have not passed all elements of assessment LS5019) can be awarded DipHE Nutrition Studies (Human Nutrition)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‘Applied Nutrition’. If students do not pass all elements of assessment in this module, after all assessment opportunities have been attempted but pass the module on aggregate, students cannot be awarded the accredited BSc (Hons) Nutrition (Human Nutrition) award but will be transferred on to the non-accredited BSc (Hons) Nutrition Studies (Human Nutrition) award and can progress to level 6, providing all other remaining modules have been passed in line with Kingston University's regulations.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(Human Nutrition)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Human Physiology(LS4004)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‘Public Health Nutrition,Contemporary Issues in Food and Nutrition and Sport, Exercise and Nutrition Project'. If students do not pass all elements of assessment in these modules, after all assessment opportunities have been attempted but pass the modules on aggregate, students cannot graduate with the accredited BSc (Hons) Nutrition (Human Nutrition) award and will instead be eligible for the non-accredited BSc (Hons) Nutrition Studies (Human Nutrition) award.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(Human Nutrition)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(Human Nutrition)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LS5200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(Human Nutrition)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 IBMS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40"/>
        <w:gridCol w:w="238"/>
        <w:gridCol w:w="1"/>
        <w:gridCol w:w="585"/>
        <w:gridCol w:w="1"/>
        <w:gridCol w:w="585"/>
        <w:gridCol w:w="1"/>
        <w:gridCol w:w="585"/>
        <w:gridCol w:w="1"/>
        <w:gridCol w:w="584"/>
        <w:gridCol w:w="1"/>
        <w:gridCol w:w="1"/>
        <w:gridCol w:w="585"/>
        <w:gridCol w:w="1"/>
        <w:gridCol w:w="585"/>
        <w:gridCol w:w="1"/>
        <w:gridCol w:w="585"/>
        <w:gridCol w:w="1"/>
        <w:gridCol w:w="585"/>
        <w:gridCol w:w="1"/>
        <w:gridCol w:w="583"/>
        <w:gridCol w:w="2"/>
        <w:gridCol w:w="1"/>
        <w:gridCol w:w="585"/>
        <w:gridCol w:w="1"/>
        <w:gridCol w:w="602"/>
        <w:gridCol w:w="1"/>
        <w:gridCol w:w="585"/>
        <w:gridCol w:w="1"/>
        <w:gridCol w:w="5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7A078BC-802C-4C4C-869D-480F33C0030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