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Nutrition (Exercise and Health) with professional placement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(Exercise and Health)</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Nutrition (Exercise and Health)</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CertHE Nutrition (Exercise and Health)</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Nutrition (Exercise and Health)</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UPENH1ENH01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UFENH1ENH04</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BB49/BB4X</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Nutrition (Exercise and Health)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Nutrition (Exercise and Health)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CertHE Nutrition (Exercise and Health)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Nutrition (Exercise and Health)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USENH1ENH01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Association for Nutrition (AfN)</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BSc (Hons) Nutrition (Exercise and Health) programme are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a curriculum in nutrition, exercise and health supported by scholarship, staff development and a research culture to students from a wide variety of academic and social backgrounds;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offer a variety of learning opportunities through flexible modes of study;</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produce graduates equipped with the subject-specific knowledge and the key and transferrable skills that enable them to play leading roles in a range of nutrition, sport, exercise, or health related industries, and/or to undertake further studies;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develop within students an ability to critically evaluate information and solve problems in the interrelated subjects of nutrition, exercise and health;</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equip graduates with a range of generic intellectual skills and key skills relevant to their personal development and future employment;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graduates with knowledge of good and safe working practices related to nutrition, exercise and health.</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Additionally the aims for those on the with professional placement programmes are to:</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provide graduates with a practical knowledge of the application of the academic disciplines related to nutrition, exercise or health environments;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provide a broader knowledge of the career opportunities in subject areas related to nutrition, exercise and health.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subject knowledge and understanding to solving problems in nutrition, exercise and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Actively listen and respond appropriately to ideas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competence in a range of practical and analytical techniques used in exercise, nutrition and health.</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in a range of practical and analytical techniques used in nutrition, exercise and health, and understand and comply with good and safe working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Collect data from primary and secondary sources and use appropriate methods to manipulate and analyse this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understand, and be able to comply with, safety in the laboratory.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and undertake the critical evaluation and interpretation of experimental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and record data in appropriate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laboratory and field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generic intellectual and key skills in lifelong learning, professional development, and future employment.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evaluate data to inform and justify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design experimental projects or field research relevant to exercise, nutrition or health.</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nutrition, exercise and health together with an in-depth knowledge of selected aspects of the subject.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aware of issues of selection, accuracy and uncertainty in the collection and analysis of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conduct and report on an individual research project in exercise, nutrition and health sciences.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challenge and defend ideas and results effectively orally and in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well with others in a group or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ideas clearly and unambiguously in writing and the spoken word.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flexibly and respond to change.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ability to be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and debate with others and make concession to reach agreement.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Give, accept and respond to constructive feedback.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Show sensitivity and respect for diverse values and beliefs.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Determine the scope of a task (or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6"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individual/group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resources needed to undertake the task (or project) and to schedule and manage the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7"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Evidence ability to successfully complete and evaluate a task (or project), revising the plan where necessary.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8"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Motivate and direct others to enable an effective contribution from all participants.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programme structure is designed to meet the QAA subject benchmarks for Biomedical Sciences and Biosciences and the Framework for Higher Education Qualifications in England, Wales and Northern Ireland (2015).  There are three levels of study and each level is made up of four modules each worth 30 credits.  Typically a student must complete 120 credits at each level.  All students will be provided with the University regulations and specific additions including how modules map against the curriculum standards of the Association for Nutrition (AfN) (See Appendix 1).  Full details of each module will be provided in module descriptors and student module guides.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(Exercise and Health)</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 (Exercise and Health)</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Essentials for Sport, Exercise and Nutrition Sciences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Functional Anatomy &amp; Exercise Physiology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Food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Progression to level 5 requires successful completion of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Nutrition (Exercise and Health)</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Applied Nutrition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&amp; Exercise Physiology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LS4009</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 in Sport, Exercise, and Nutrition Sciences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Sport and Exercise Psychology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LS5013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0"/>
          <w:szCs w:val="20"/>
        </w:rPr>
        <w:t>Students exiting the programme at this point who have successfully completed 120 credits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Nutrition (Exercise and Health)</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Exercise and Health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Public Health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Sport, Exercise and Nutrition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Sport and Exercise Physiology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Contemporary Issues in Food and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Sport Nutrition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LS6031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Nutrition (Exercise and Health)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Asynchronous activities that are time bound and have specified (scheduled) learning hours allocated</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04"/>
        <w:gridCol w:w="362"/>
        <w:gridCol w:w="619"/>
        <w:gridCol w:w="619"/>
        <w:gridCol w:w="619"/>
        <w:gridCol w:w="618"/>
        <w:gridCol w:w="1"/>
        <w:gridCol w:w="619"/>
        <w:gridCol w:w="619"/>
        <w:gridCol w:w="619"/>
        <w:gridCol w:w="617"/>
        <w:gridCol w:w="2"/>
        <w:gridCol w:w="619"/>
        <w:gridCol w:w="637"/>
        <w:gridCol w:w="619"/>
        <w:gridCol w:w="61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LS4013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1CA94F1-CBC2-44F3-8B72-8DA3BC40AF2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