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FdSc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Nursing Associate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30/03/2019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School of Nursing, 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FdSc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Nursing Associate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Healthcare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Not applicable</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School of Nursing, 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pStyle w:val="first"/>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At the point of entry onto the course, applicants for the apprenticeship route must be employed within a health or care setting where they can be appropriately supervised by a registered nurse or other appropriate registered health or care professional. Typically, applicants will be employed at NHS Agenda for Change Band 2 or 3 as healthcare support workers (or equivalent).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ind w:left="132"/>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GCSE: </w:t>
            </w:r>
            <w:r w:rsidRPr="2030048C">
              <w:rPr>
                <w:rStyle w:val="normaltextrun"/>
                <w:rFonts w:ascii="Arial" w:eastAsia="Arial" w:hAnsi="Arial" w:cs="Arial"/>
                <w:b w:val="0"/>
                <w:bCs w:val="0"/>
                <w:color w:val="000000"/>
                <w:sz w:val="24"/>
                <w:szCs w:val="24"/>
                <w:shd w:val="clear" w:color="auto" w:fill="FFFFFF"/>
              </w:rPr>
              <w:t xml:space="preserve">English (normally English language) </w:t>
            </w:r>
            <w:r w:rsidRPr="2030048C">
              <w:rPr>
                <w:rStyle w:val="normaltextrun"/>
                <w:rFonts w:ascii="Arial" w:eastAsia="Arial" w:hAnsi="Arial" w:cs="Arial"/>
                <w:b w:val="0"/>
                <w:bCs w:val="0"/>
                <w:color w:val="000000"/>
                <w:sz w:val="24"/>
                <w:szCs w:val="24"/>
                <w:shd w:val="clear" w:color="auto" w:fill="FFFFFF"/>
              </w:rPr>
              <w:t xml:space="preserve">and </w:t>
            </w:r>
            <w:r w:rsidRPr="2030048C">
              <w:rPr>
                <w:rStyle w:val="normaltextrun"/>
                <w:rFonts w:ascii="Arial" w:eastAsia="Arial" w:hAnsi="Arial" w:cs="Arial"/>
                <w:b w:val="0"/>
                <w:bCs w:val="0"/>
                <w:color w:val="000000"/>
                <w:sz w:val="24"/>
                <w:szCs w:val="24"/>
                <w:shd w:val="clear" w:color="auto" w:fill="FFFFFF"/>
              </w:rPr>
              <w:t xml:space="preserve">mathematics grades 4-9 </w:t>
            </w:r>
            <w:r w:rsidRPr="2030048C">
              <w:rPr>
                <w:rStyle w:val="normaltextrun"/>
                <w:rFonts w:ascii="Arial" w:eastAsia="Arial" w:hAnsi="Arial" w:cs="Arial"/>
                <w:b w:val="0"/>
                <w:bCs w:val="0"/>
                <w:color w:val="000000"/>
                <w:sz w:val="24"/>
                <w:szCs w:val="24"/>
                <w:shd w:val="clear" w:color="auto" w:fill="FFFFFF"/>
              </w:rPr>
              <w:t xml:space="preserve">(or grade C or above for GCSEs taken before 2017); or equivalent qualification (e.g. </w:t>
            </w:r>
            <w:r w:rsidRPr="2030048C">
              <w:rPr>
                <w:rStyle w:val="normaltextrun"/>
                <w:rFonts w:ascii="Arial" w:eastAsia="Arial" w:hAnsi="Arial" w:cs="Arial"/>
                <w:b w:val="0"/>
                <w:bCs w:val="0"/>
                <w:color w:val="000000"/>
                <w:sz w:val="24"/>
                <w:szCs w:val="24"/>
                <w:shd w:val="clear" w:color="auto" w:fill="FFFFFF"/>
              </w:rPr>
              <w:t>Functional Skills level 2 in numeracy and literacy</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Admission to the programme is subject to the following:</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satisfactory occupational health clearance;</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Disclosure and Barring Services (DBS) clearance (Enhanced);</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satisfactory interview;</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 appropriate employment for a minimum of 37.5h per week;</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where</w:t>
            </w:r>
            <w:r w:rsidRPr="2030048C">
              <w:rPr>
                <w:rStyle w:val="normaltextrun"/>
                <w:rFonts w:ascii="Arial" w:eastAsia="Arial" w:hAnsi="Arial" w:cs="Arial"/>
                <w:b w:val="0"/>
                <w:bCs w:val="0"/>
                <w:color w:val="000000"/>
                <w:sz w:val="24"/>
                <w:szCs w:val="24"/>
                <w:shd w:val="clear" w:color="auto" w:fill="FFFFFF"/>
              </w:rPr>
              <w:t xml:space="preserve"> applicable, a ‘Right to Work’ covering the full length of the course and end point assessment (30 months).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All applicants who meet the minimum requirements are required to attend </w:t>
            </w:r>
            <w:r w:rsidRPr="2030048C">
              <w:rPr>
                <w:rStyle w:val="normaltextrun"/>
                <w:rFonts w:ascii="Arial" w:eastAsia="Arial" w:hAnsi="Arial" w:cs="Arial"/>
                <w:b w:val="0"/>
                <w:bCs w:val="0"/>
                <w:color w:val="000000"/>
                <w:sz w:val="24"/>
                <w:szCs w:val="24"/>
                <w:shd w:val="clear" w:color="auto" w:fill="FFFFFF"/>
              </w:rPr>
              <w:t xml:space="preserve">a selection day which includes a </w:t>
            </w:r>
            <w:r w:rsidRPr="2030048C">
              <w:rPr>
                <w:rStyle w:val="normaltextrun"/>
                <w:rFonts w:ascii="Arial" w:eastAsia="Arial" w:hAnsi="Arial" w:cs="Arial"/>
                <w:b w:val="0"/>
                <w:bCs w:val="0"/>
                <w:color w:val="000000"/>
                <w:sz w:val="24"/>
                <w:szCs w:val="24"/>
                <w:shd w:val="clear" w:color="auto" w:fill="FFFFFF"/>
              </w:rPr>
              <w:t xml:space="preserve">values-based interview (multiple mini interviews) </w:t>
            </w:r>
            <w:r w:rsidRPr="2030048C">
              <w:rPr>
                <w:rStyle w:val="normaltextrun"/>
                <w:rFonts w:ascii="Arial" w:eastAsia="Arial" w:hAnsi="Arial" w:cs="Arial"/>
                <w:b w:val="0"/>
                <w:bCs w:val="0"/>
                <w:color w:val="000000"/>
                <w:sz w:val="24"/>
                <w:szCs w:val="24"/>
                <w:shd w:val="clear" w:color="auto" w:fill="FFFFFF"/>
              </w:rPr>
              <w:t>and an informal assessment of the applicant’s current digital literacy skills which will provide a baseline from which to develop capability in digital and technological literacy during the programme.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Nursing and Midwifery Council</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The programme has approval for the following variants:</w:t>
            </w:r>
          </w:p>
          <w:p w:rsidR="5D711985" w:rsidRPr="158602C4" w:rsidP="158602C4">
            <w:pPr>
              <w:numPr>
                <w:ilvl w:val="0"/>
                <w:numId w:val="13"/>
              </w:numPr>
              <w:shd w:val="clear" w:color="auto" w:fill="FFFFFE"/>
              <w:spacing w:before="0" w:beforeAutospacing="0" w:after="0" w:afterAutospacing="0" w:line="285" w:lineRule="auto"/>
              <w:ind w:left="720" w:hanging="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Year 1: three 30 credit modules and two 15 credit modules;</w:t>
            </w:r>
          </w:p>
          <w:p w:rsidR="5D711985" w:rsidRPr="158602C4" w:rsidP="158602C4">
            <w:pPr>
              <w:numPr>
                <w:ilvl w:val="0"/>
                <w:numId w:val="13"/>
              </w:numPr>
              <w:shd w:val="clear" w:color="auto" w:fill="FFFFFE"/>
              <w:spacing w:before="0" w:beforeAutospacing="0" w:after="0" w:afterAutospacing="0" w:line="285" w:lineRule="auto"/>
              <w:ind w:left="720" w:hanging="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Year 2: three 30 credit modules and two 15 credit modules;</w:t>
            </w:r>
          </w:p>
          <w:p w:rsidR="5D711985" w:rsidRPr="158602C4" w:rsidP="158602C4">
            <w:pPr>
              <w:numPr>
                <w:ilvl w:val="0"/>
                <w:numId w:val="13"/>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there is no compensation in assessments across theory and practice learning;</w:t>
            </w:r>
          </w:p>
          <w:p w:rsidR="5D711985" w:rsidRPr="158602C4" w:rsidP="158602C4">
            <w:pPr>
              <w:numPr>
                <w:ilvl w:val="0"/>
                <w:numId w:val="13"/>
              </w:numPr>
              <w:shd w:val="clear" w:color="auto" w:fill="FFFFFE"/>
              <w:spacing w:before="0" w:beforeAutospacing="0" w:after="0" w:afterAutospacing="0" w:line="285" w:lineRule="auto"/>
              <w:ind w:left="720" w:hanging="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only two attempts at the practice assessment document are permitted;</w:t>
            </w:r>
          </w:p>
          <w:p w:rsidR="5D711985" w:rsidRPr="158602C4" w:rsidP="158602C4">
            <w:pPr>
              <w:numPr>
                <w:ilvl w:val="0"/>
                <w:numId w:val="13"/>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the degree classification will be based on 90 credits at level 5.</w:t>
            </w:r>
          </w:p>
          <w:p w:rsidR="5D711985" w:rsidRPr="158602C4" w:rsidP="158602C4">
            <w:pPr>
              <w:numPr>
                <w:ilvl w:val="0"/>
                <w:numId w:val="13"/>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To be awarded a Foundation degree with distinction, a student must have achieved</w:t>
            </w:r>
            <w:r w:rsidRPr="158602C4">
              <w:rPr>
                <w:rStyle w:val="normaltextrun"/>
                <w:rFonts w:ascii="Arial" w:eastAsia="Arial" w:hAnsi="Arial" w:cs="Arial"/>
                <w:b w:val="0"/>
                <w:bCs w:val="0"/>
                <w:color w:val="000000"/>
                <w:sz w:val="22"/>
                <w:szCs w:val="22"/>
              </w:rPr>
              <w:br/>
            </w:r>
            <w:r w:rsidRPr="158602C4">
              <w:rPr>
                <w:rStyle w:val="normaltextrun"/>
                <w:rFonts w:ascii="Arial" w:eastAsia="Arial" w:hAnsi="Arial" w:cs="Arial"/>
                <w:b w:val="0"/>
                <w:bCs w:val="0"/>
                <w:color w:val="000000"/>
                <w:sz w:val="22"/>
                <w:szCs w:val="22"/>
              </w:rPr>
              <w:t>• at least 240 credits at level 4 or above, of which at least 120 credits must be at level 5 or above</w:t>
            </w:r>
            <w:r w:rsidRPr="158602C4">
              <w:rPr>
                <w:rStyle w:val="normaltextrun"/>
                <w:rFonts w:ascii="Arial" w:eastAsia="Arial" w:hAnsi="Arial" w:cs="Arial"/>
                <w:b w:val="0"/>
                <w:bCs w:val="0"/>
                <w:color w:val="000000"/>
                <w:sz w:val="22"/>
                <w:szCs w:val="22"/>
              </w:rPr>
              <w:br/>
            </w:r>
            <w:r w:rsidRPr="158602C4">
              <w:rPr>
                <w:rStyle w:val="normaltextrun"/>
                <w:rFonts w:ascii="Arial" w:eastAsia="Arial" w:hAnsi="Arial" w:cs="Arial"/>
                <w:b w:val="0"/>
                <w:bCs w:val="0"/>
                <w:color w:val="000000"/>
                <w:sz w:val="22"/>
                <w:szCs w:val="22"/>
              </w:rPr>
              <w:t xml:space="preserve">• and an average of at least 70% in 90 graded credits at level 5 </w:t>
            </w:r>
          </w:p>
          <w:p w:rsidR="5D711985" w:rsidRPr="158602C4" w:rsidP="158602C4">
            <w:pPr>
              <w:numPr>
                <w:ilvl w:val="0"/>
                <w:numId w:val="13"/>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To be awarded a Foundation degree with merit, a student must have achieved</w:t>
            </w:r>
            <w:r w:rsidRPr="158602C4">
              <w:rPr>
                <w:rStyle w:val="normaltextrun"/>
                <w:rFonts w:ascii="Arial" w:eastAsia="Arial" w:hAnsi="Arial" w:cs="Arial"/>
                <w:b w:val="0"/>
                <w:bCs w:val="0"/>
                <w:color w:val="000000"/>
                <w:sz w:val="22"/>
                <w:szCs w:val="22"/>
              </w:rPr>
              <w:br/>
            </w:r>
            <w:r w:rsidRPr="158602C4">
              <w:rPr>
                <w:rStyle w:val="normaltextrun"/>
                <w:rFonts w:ascii="Arial" w:eastAsia="Arial" w:hAnsi="Arial" w:cs="Arial"/>
                <w:b w:val="0"/>
                <w:bCs w:val="0"/>
                <w:color w:val="000000"/>
                <w:sz w:val="22"/>
                <w:szCs w:val="22"/>
              </w:rPr>
              <w:t>• at least 240 credits at level 4 or above, of which at least 120 credits must be at level 5 or above</w:t>
            </w:r>
            <w:r w:rsidRPr="158602C4">
              <w:rPr>
                <w:rStyle w:val="normaltextrun"/>
                <w:rFonts w:ascii="Arial" w:eastAsia="Arial" w:hAnsi="Arial" w:cs="Arial"/>
                <w:b w:val="0"/>
                <w:bCs w:val="0"/>
                <w:color w:val="000000"/>
                <w:sz w:val="22"/>
                <w:szCs w:val="22"/>
              </w:rPr>
              <w:br/>
            </w:r>
            <w:r w:rsidRPr="158602C4">
              <w:rPr>
                <w:rStyle w:val="normaltextrun"/>
                <w:rFonts w:ascii="Arial" w:eastAsia="Arial" w:hAnsi="Arial" w:cs="Arial"/>
                <w:b w:val="0"/>
                <w:bCs w:val="0"/>
                <w:color w:val="000000"/>
                <w:sz w:val="22"/>
                <w:szCs w:val="22"/>
              </w:rPr>
              <w:t>• and an average of at least 60% in 90 graded credits at level 5</w:t>
            </w:r>
          </w:p>
          <w:p w:rsidR="5D711985" w:rsidRPr="158602C4" w:rsidP="158602C4">
            <w:pPr>
              <w:numPr>
                <w:ilvl w:val="0"/>
                <w:numId w:val="13"/>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Students are permitted to trail up to 60 credits of L4 credit into the next academic year (note: the NMC has temporarily suspended the 12 week rule due to the Covid pandemic so the trailed module will not have to be completed within the first 12 weeks of L5)</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The programme will prepare students to meet the NMC Standards of Proficiency for Nursing Associates (2018b), so that they may apply for entry to the NMC Register as Registered Nursing Associates upon course completion.</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The specific programme aims are to:</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contemporary, evidence-based nursing education which meets the needs of students, service users and local health and social care employers.</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accountable, safe, compassionate and resilient practitioners who demonstrate professional attitudes and behaviours consistent with the NMC Code. </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students’ knowledge and understanding of core, generic, evidence-based nursing theory and practice, enabling application of learning through a range of supervised practice-based placements. </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in students the value and benefits of collaborative working with service-users, carers and health and social care professionals, in order to achieve optimum individualised person-centered care.</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Nurture students’ personal and professional development in readiness for employment as nursing associates, equipping them with problem solving, analytical, practical and key graduate (transferable) skills, including the ability to be independent, reflective, lifelong learners.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of management, leadership and organisation of health care systems within the NHS, independent and voluntary sectors to own area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problem-solving and enquiry skills in order to appraise and interpret healthcare information, and its quality and relevance to care in own area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situations in day-to-day clinical practice, demonstrating technical competence and expertise.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detailed knowledge of health promotion and disease prevention principles in maintaining and improving the physical and mental health and wellbeing of service users in different settings and across the lifespan.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skills and attributes of a reflective practitioner and autonomous learner, with commitment to personal and professional development, including resilience.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collaboratively and in partnership with service users, carers and other members of the multi-disciplinary team to provide integrated person-centred care, whilst recognising own limitations and professional boundaries.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practice and explore strategies for monitoring own performance and that of others, in order to promote high quality, safe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Access, input and analyse information using a range of verbal, non-verbal, written and digital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contemporary research-based evidence to the planning, delivery and evaluation of flexible, safe, person-centred care in accordance with national and local policies and guidelines, including self-care where achievable.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and understanding of healthcare related ethical, legal and professional principles in order to promote equality, diversity, dignity and compassionate care within own area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understanding of the concepts of leadership and teamwork to own role.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variety of approaches to assess, identify and manage risk safely and effectively within the workplace and in line with published frameworks and risk tools, escalating concerns as appropriate.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detailed knowledge and understanding of anatomy, physiology and pathophysiology to the interpretation of clinical assessment and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Safely and accurately perform a range of skills relating to the assessment and care of service users from across the lifespan and in a range of settings.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professional behaviour and effective non-judgemental interpersonal communication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communicate effectively with service users, carers and healthcare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r w:rsidRPr="2030048C">
        <w:rPr>
          <w:rFonts w:ascii="Arial" w:eastAsia="Arial" w:hAnsi="Arial" w:cs="Arial"/>
          <w:color w:val="000000" w:themeColor="text1" w:themeShade="FF" w:themeTint="FF"/>
          <w:sz w:val="24"/>
          <w:szCs w:val="24"/>
        </w:rPr>
        <w:drawing>
          <wp:inline>
            <wp:extent cx="5731510" cy="322754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5731510" cy="3227545"/>
                    </a:xfrm>
                    <a:prstGeom prst="rect">
                      <a:avLst/>
                    </a:prstGeom>
                  </pic:spPr>
                </pic:pic>
              </a:graphicData>
            </a:graphic>
          </wp:inline>
        </w:drawing>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of study consists of five modules: three 30 credit modules and two at 15 credits.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 a student must complete 120 credits at each level.</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University regulations and specific additions required for accreditation by the professional regulator. 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FdSc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Nursing Associate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FdSc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Nursing Associate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Anatomy and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NU4002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NU4001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Professionalism in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NU4004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Promoting Health and Wellbeing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NU4005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Skills for Healthcare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NU4003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exit the programme at the end of part 1 and who have successfully completed 120 credits at level 4 are eligible for the award of Certificate of Higher Education in Healthcare.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FdSc</w:t>
            </w:r>
            <w:r w:rsidRPr="2030048C">
              <w:rPr>
                <w:rFonts w:ascii="Arial" w:eastAsia="Arial" w:hAnsi="Arial" w:cs="Arial"/>
                <w:b/>
                <w:bCs/>
                <w:lang w:val="en-GB"/>
              </w:rPr>
              <w:t xml:space="preserve"> </w:t>
            </w:r>
            <w:r w:rsidRPr="2030048C">
              <w:rPr>
                <w:rFonts w:ascii="Arial" w:eastAsia="Arial" w:hAnsi="Arial" w:cs="Arial"/>
                <w:b/>
                <w:bCs/>
                <w:lang w:val="en-GB"/>
              </w:rPr>
              <w:t>Nursing Associate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Leadership for Nursing Associates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NU5005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Long Term Conditions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NU5004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NU5001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Skills for Healthcare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NU5002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 Acutely Unwell Person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NU5003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have </w:t>
      </w:r>
    </w:p>
    <w:p w:rsidR="3891A81D" w:rsidRPr="2030048C" w:rsidP="2030048C">
      <w:pPr>
        <w:numPr>
          <w:ilvl w:val="0"/>
          <w:numId w:val="16"/>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completed and passed all 120 credits at level 4;  </w:t>
      </w:r>
    </w:p>
    <w:p w:rsidR="3891A81D" w:rsidRPr="2030048C" w:rsidP="2030048C">
      <w:pPr>
        <w:numPr>
          <w:ilvl w:val="0"/>
          <w:numId w:val="16"/>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completed and passed all 120 credits at level 5;  </w:t>
      </w:r>
    </w:p>
    <w:p w:rsidR="3891A81D" w:rsidRPr="2030048C" w:rsidP="2030048C">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met NMC sign-off requirements for end of parts 1 and 2 of the programme;  </w:t>
      </w:r>
    </w:p>
    <w:p w:rsidR="3891A81D" w:rsidRPr="2030048C" w:rsidP="2030048C">
      <w:pPr>
        <w:numPr>
          <w:ilvl w:val="0"/>
          <w:numId w:val="17"/>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completed a minimum of 1,150 hours of practice and 1,150 hours of theory;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are eligible for the award of Foundation Degree (FdSc) Nursing Associate. The degree classification will be based on 90 credits at level 5 (excludes pass/fail module NU5002). Graduates will be able to apply for entry to the Nursing and Midwifery Council Professional Register. Application for registration must be made within five years of completing the award.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programme is designed to meet the Nursing and Midwifery Council’s Standards for Pre-registration Nursing Associate programmes (NMC, 2018a) and Standards for Student Supervision and Assessment (NMC, 2018c). It will ensure students are supported to achieve the competencies, communication, relationship management skills and nursing procedures specified in the Standards of Proficiency for Nursing Associates (NMC, 2018b) via a minimum of 1,150 hours of theoretical content and 1,150 hours of protected practice learning. The programme has two progression points which must be met at the end of Semester 2 in Years 1 and 2 respectively.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left="360"/>
        <w:rPr>
          <w:rFonts w:ascii="Arial" w:eastAsia="Arial" w:hAnsi="Arial" w:cs="Arial"/>
          <w:sz w:val="24"/>
          <w:szCs w:val="24"/>
        </w:rPr>
      </w:pPr>
      <w:r w:rsidRPr="2030048C">
        <w:rPr>
          <w:rFonts w:ascii="Arial" w:eastAsia="Arial" w:hAnsi="Arial" w:cs="Arial"/>
          <w:b/>
          <w:bCs/>
          <w:sz w:val="24"/>
          <w:szCs w:val="24"/>
        </w:rPr>
        <w:t>Programme design</w:t>
      </w:r>
    </w:p>
    <w:p w:rsidRPr="2030048C" w:rsidP="2030048C">
      <w:pPr>
        <w:rPr>
          <w:rFonts w:ascii="Arial" w:eastAsia="Arial" w:hAnsi="Arial" w:cs="Arial"/>
          <w:sz w:val="24"/>
          <w:szCs w:val="24"/>
        </w:rPr>
      </w:pPr>
      <w:r w:rsidRPr="2030048C">
        <w:rPr>
          <w:rFonts w:ascii="Arial" w:eastAsia="Arial" w:hAnsi="Arial" w:cs="Arial"/>
          <w:sz w:val="24"/>
          <w:szCs w:val="24"/>
        </w:rPr>
        <w:t xml:space="preserve">The programme is designed as a continuous process where theory and practice are interlinked and inform each other. Students engage with a number of key relationships – service users and families; teachers, practice supervisors and assessors; the learning environment (university and practice); knowledge and evidence. The six NMC platforms (being an accountable professional; promoting health and preventing ill-health; providing and monitoring care; working in teams; improving safety and quality of care; contributing to integrated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practice. A number of curriculum threads are also developed throughout the programme using a spiralling approach. These core concepts have been identified from student, service user and employer feedback, and include critical thinking, evidence-based practice, pharmacology, fields of practice (e.g. mental health), interdisciplinary working, safeguarding, numeracy and academic skills. </w:t>
      </w:r>
    </w:p>
    <w:p w:rsidRPr="2030048C" w:rsidP="2030048C">
      <w:pPr>
        <w:rPr>
          <w:rFonts w:ascii="Arial" w:eastAsia="Arial" w:hAnsi="Arial" w:cs="Arial"/>
          <w:sz w:val="24"/>
          <w:szCs w:val="24"/>
        </w:rPr>
      </w:pPr>
      <w:r w:rsidRPr="2030048C">
        <w:rPr>
          <w:rFonts w:ascii="Arial" w:eastAsia="Arial" w:hAnsi="Arial" w:cs="Arial"/>
          <w:sz w:val="24"/>
          <w:szCs w:val="24"/>
        </w:rPr>
        <w:t xml:space="preserve">As a non-field specific programme, all modules take a generic approach and aim to develop a broad understanding of care needs relevant to all fields of nursing, ensuring students can identify holistic needs and deliver care to a diverse range of individuals. There is an emphasis on the relationship between physical and mental health, care throughout the lifespan and the wider influences on health and wellbeing. Modules are organised in a staged and spiralling approach throughout the academic year to maximise opportunities for the integration of theory and practice. Year 1 develops a broad understanding of the nursing associate knowledge base and enables the student to provide reasoned explanations of relevant issues. Year 2 promotes a more detailed understanding of the subject matter covered in Year 1, related theories and concepts, enabling students to provide substantiated arguments applied to relevant issues. The integration of theory and practice is achieved through learning, teaching and assessment strategies which require students to reflect on their experiences in practice. Nursing knowledge and evidence are applied to these experiences, with an increasing depth of discussion and analysis as </w:t>
      </w:r>
      <w:r w:rsidRPr="2030048C">
        <w:rPr>
          <w:rFonts w:ascii="Arial" w:eastAsia="Arial" w:hAnsi="Arial" w:cs="Arial"/>
          <w:sz w:val="24"/>
          <w:szCs w:val="24"/>
        </w:rPr>
        <w:t>students</w:t>
      </w:r>
      <w:r w:rsidRPr="2030048C">
        <w:rPr>
          <w:rFonts w:ascii="Arial" w:eastAsia="Arial" w:hAnsi="Arial" w:cs="Arial"/>
          <w:sz w:val="24"/>
          <w:szCs w:val="24"/>
        </w:rPr>
        <w:t xml:space="preserve"> progress through the academic levels. </w:t>
      </w:r>
    </w:p>
    <w:p w:rsidRPr="2030048C" w:rsidP="2030048C">
      <w:pPr>
        <w:rPr>
          <w:rFonts w:ascii="Arial" w:eastAsia="Arial" w:hAnsi="Arial" w:cs="Arial"/>
          <w:sz w:val="24"/>
          <w:szCs w:val="24"/>
        </w:rPr>
      </w:pPr>
      <w:r w:rsidRPr="2030048C">
        <w:rPr>
          <w:rFonts w:ascii="Arial" w:eastAsia="Arial" w:hAnsi="Arial" w:cs="Arial"/>
          <w:sz w:val="24"/>
          <w:szCs w:val="24"/>
        </w:rPr>
        <w:t>The University’s Inclusive Curriculum Framework principles and resources have been used to embed inclusivity within curriculum design, delivery and assessment, to ensure that students are not unduly advantaged or disadvantaged due to their level of prior clinical experience, learning difference or background. All new academic staff receive unconscious bias and inclusivity awareness training as part of their induction.</w:t>
      </w:r>
    </w:p>
    <w:p w:rsidRPr="2030048C" w:rsidP="2030048C">
      <w:pPr>
        <w:rPr>
          <w:rFonts w:ascii="Arial" w:eastAsia="Arial" w:hAnsi="Arial" w:cs="Arial"/>
          <w:sz w:val="24"/>
          <w:szCs w:val="24"/>
        </w:rPr>
      </w:pPr>
      <w:r w:rsidRPr="2030048C">
        <w:rPr>
          <w:rFonts w:ascii="Arial" w:eastAsia="Arial" w:hAnsi="Arial" w:cs="Arial"/>
          <w:b/>
          <w:bCs/>
          <w:sz w:val="24"/>
          <w:szCs w:val="24"/>
        </w:rPr>
        <w:t>Service user, employer and student input to programme design and delivery</w:t>
      </w:r>
    </w:p>
    <w:p w:rsidRPr="2030048C" w:rsidP="2030048C">
      <w:pPr>
        <w:rPr>
          <w:rFonts w:ascii="Arial" w:eastAsia="Arial" w:hAnsi="Arial" w:cs="Arial"/>
          <w:sz w:val="24"/>
          <w:szCs w:val="24"/>
        </w:rPr>
      </w:pPr>
      <w:r w:rsidRPr="2030048C">
        <w:rPr>
          <w:rFonts w:ascii="Arial" w:eastAsia="Arial" w:hAnsi="Arial" w:cs="Arial"/>
          <w:sz w:val="24"/>
          <w:szCs w:val="24"/>
        </w:rPr>
        <w:t xml:space="preserve">Practice partners, service users and students have participated in programme design through feedback and engagement mechanisms, including a joint engagement event which brought together all three stakeholder groups. These contributions have informed module development and the new module descriptors have been, and continue to be, discussed and reviewed at ongoing service user representative meetings, to ensure that they remain fit-for-purpose and reflect stakeholder views.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Practice partners, service users, user groups and carers participate in the delivery of the programme within the classroom.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as part of the objective structured clinical assessments and during the ‘Health and Wellbeing’ module formative group presentation in Year 1.</w:t>
      </w:r>
    </w:p>
    <w:p w:rsidRPr="2030048C" w:rsidP="2030048C">
      <w:pPr>
        <w:rPr>
          <w:rFonts w:ascii="Arial" w:eastAsia="Arial" w:hAnsi="Arial" w:cs="Arial"/>
          <w:sz w:val="24"/>
          <w:szCs w:val="24"/>
        </w:rPr>
      </w:pPr>
      <w:r w:rsidRPr="2030048C">
        <w:rPr>
          <w:rFonts w:ascii="Arial" w:eastAsia="Arial" w:hAnsi="Arial" w:cs="Arial"/>
          <w:b/>
          <w:bCs/>
          <w:sz w:val="24"/>
          <w:szCs w:val="24"/>
        </w:rPr>
        <w:t>Teaching and learning</w:t>
      </w:r>
    </w:p>
    <w:p w:rsidRPr="2030048C" w:rsidP="2030048C">
      <w:pPr>
        <w:rPr>
          <w:rFonts w:ascii="Arial" w:eastAsia="Arial" w:hAnsi="Arial" w:cs="Arial"/>
          <w:sz w:val="24"/>
          <w:szCs w:val="24"/>
        </w:rPr>
      </w:pPr>
      <w:r w:rsidRPr="2030048C">
        <w:rPr>
          <w:rFonts w:ascii="Arial" w:eastAsia="Arial" w:hAnsi="Arial" w:cs="Arial"/>
          <w:sz w:val="24"/>
          <w:szCs w:val="24"/>
        </w:rPr>
        <w:t xml:space="preserve">Teaching and learning are delivered through the integration of a variety of face-to-face activities and technology enhanced learning (TEL). Face-to-face teaching occurs in small and large groups and includes lectures, conferences, seminars, </w:t>
      </w:r>
      <w:r w:rsidRPr="2030048C">
        <w:rPr>
          <w:rFonts w:ascii="Arial" w:eastAsia="Arial" w:hAnsi="Arial" w:cs="Arial"/>
          <w:sz w:val="24"/>
          <w:szCs w:val="24"/>
        </w:rPr>
        <w:t>groupwork</w:t>
      </w:r>
      <w:r w:rsidRPr="2030048C">
        <w:rPr>
          <w:rFonts w:ascii="Arial" w:eastAsia="Arial" w:hAnsi="Arial" w:cs="Arial"/>
          <w:sz w:val="24"/>
          <w:szCs w:val="24"/>
        </w:rPr>
        <w:t xml:space="preserve"> and problem-based learning. Technology Enhanced Learning includes online activities, supported by the University’s Virtual Learning Environment (Canvas) and classroom-based technologies such as </w:t>
      </w:r>
      <w:r w:rsidRPr="2030048C">
        <w:rPr>
          <w:rFonts w:ascii="Arial" w:eastAsia="Arial" w:hAnsi="Arial" w:cs="Arial"/>
          <w:sz w:val="24"/>
          <w:szCs w:val="24"/>
        </w:rPr>
        <w:t>ResponseWare</w:t>
      </w:r>
      <w:r w:rsidRPr="2030048C">
        <w:rPr>
          <w:rFonts w:ascii="Arial" w:eastAsia="Arial" w:hAnsi="Arial" w:cs="Arial"/>
          <w:sz w:val="24"/>
          <w:szCs w:val="24"/>
        </w:rPr>
        <w:t>. Learning in the classroom will be further enhanced through use of a virtual family, a three-generation family with a range of interconnected physical, psychosocial and learning needs.</w:t>
      </w:r>
    </w:p>
    <w:p w:rsidRPr="2030048C" w:rsidP="2030048C">
      <w:pPr>
        <w:rPr>
          <w:rFonts w:ascii="Arial" w:eastAsia="Arial" w:hAnsi="Arial" w:cs="Arial"/>
          <w:sz w:val="24"/>
          <w:szCs w:val="24"/>
        </w:rPr>
      </w:pPr>
      <w:r w:rsidRPr="2030048C">
        <w:rPr>
          <w:rFonts w:ascii="Arial" w:eastAsia="Arial" w:hAnsi="Arial" w:cs="Arial"/>
          <w:sz w:val="24"/>
          <w:szCs w:val="24"/>
        </w:rPr>
        <w:t xml:space="preserve">Research informed teaching is delivered in a number of ways to ensure graduates achieve the appropriate skills and engage with evidence-based practice (EBP) and critical thinking. Newell and </w:t>
      </w:r>
      <w:r w:rsidRPr="2030048C">
        <w:rPr>
          <w:rFonts w:ascii="Arial" w:eastAsia="Arial" w:hAnsi="Arial" w:cs="Arial"/>
          <w:sz w:val="24"/>
          <w:szCs w:val="24"/>
        </w:rPr>
        <w:t>Burnard’s</w:t>
      </w:r>
      <w:r w:rsidRPr="2030048C">
        <w:rPr>
          <w:rFonts w:ascii="Arial" w:eastAsia="Arial" w:hAnsi="Arial" w:cs="Arial"/>
          <w:sz w:val="24"/>
          <w:szCs w:val="24"/>
        </w:rPr>
        <w:t xml:space="preserve"> (2011) five stages of EBP are used as a framework to structure research informed teaching within the curriculum:</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asking answerable questions from practice (Year 1);</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finding the best available evidence (Year 1);</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appraising the evidence for validity and applicability (Year 2);</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applying the results of appraisal to clinical practice (Year 2);</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evaluating</w:t>
      </w:r>
      <w:r w:rsidRPr="2030048C">
        <w:rPr>
          <w:rFonts w:ascii="Arial" w:eastAsia="Arial" w:hAnsi="Arial" w:cs="Arial"/>
          <w:sz w:val="24"/>
          <w:szCs w:val="24"/>
        </w:rPr>
        <w:t xml:space="preserve"> the effect of applying the evidence (if student progresses to BSc Nursing: RN).</w:t>
      </w:r>
    </w:p>
    <w:p w:rsidRPr="2030048C" w:rsidP="2030048C">
      <w:pPr>
        <w:rPr>
          <w:rFonts w:ascii="Arial" w:eastAsia="Arial" w:hAnsi="Arial" w:cs="Arial"/>
          <w:sz w:val="24"/>
          <w:szCs w:val="24"/>
        </w:rPr>
      </w:pPr>
      <w:r w:rsidRPr="2030048C">
        <w:rPr>
          <w:rFonts w:ascii="Arial" w:eastAsia="Arial" w:hAnsi="Arial" w:cs="Arial"/>
          <w:sz w:val="24"/>
          <w:szCs w:val="24"/>
        </w:rPr>
        <w:t xml:space="preserve">The Year 2 module ‘Leadership for Nursing Associates' allows students to consolidate research informed learning through the work-based learning assignment, whilst the use of an enquiry-based approach to learning and teaching fosters the development of relevant skills. Research informed teaching is also delivered through the integration of the significant body of research generated by the Faculty and course team. </w:t>
      </w:r>
    </w:p>
    <w:p w:rsidRPr="2030048C" w:rsidP="2030048C">
      <w:pPr>
        <w:rPr>
          <w:rFonts w:ascii="Arial" w:eastAsia="Arial" w:hAnsi="Arial" w:cs="Arial"/>
          <w:sz w:val="24"/>
          <w:szCs w:val="24"/>
        </w:rPr>
      </w:pPr>
      <w:r w:rsidRPr="2030048C">
        <w:rPr>
          <w:rFonts w:ascii="Arial" w:eastAsia="Arial" w:hAnsi="Arial" w:cs="Arial"/>
          <w:sz w:val="24"/>
          <w:szCs w:val="24"/>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objective and reasoned thinkers. It helps students to tackle assignments confidently, understand marking criteria, use evidence, take a reasoned approach, make structured arguments and engage with other points of view. </w:t>
      </w:r>
    </w:p>
    <w:p w:rsidRPr="2030048C" w:rsidP="2030048C">
      <w:pPr>
        <w:rPr>
          <w:rFonts w:ascii="Arial" w:eastAsia="Arial" w:hAnsi="Arial" w:cs="Arial"/>
          <w:sz w:val="24"/>
          <w:szCs w:val="24"/>
        </w:rPr>
      </w:pPr>
      <w:r w:rsidRPr="2030048C">
        <w:rPr>
          <w:rFonts w:ascii="Arial" w:eastAsia="Arial" w:hAnsi="Arial" w:cs="Arial"/>
          <w:sz w:val="24"/>
          <w:szCs w:val="24"/>
        </w:rPr>
        <w:t>Guided independent study activities are designated for each module and are identified on Canvas. This guide provides information for students in terms of the expectations for the activity, how the student will be guided and the time that should be spent on the activity. Students will have protected time allocated on their e-roster to undertake these activities along with self-directed learning. Information about the activity (e.g. time spent, type of learning activity) will be recorded within Section B of the Ongoing Assessment Record (OAR) to allow for monitoring to ensure completion of required hours and how the activity supports the module learning outcomes.</w:t>
      </w:r>
    </w:p>
    <w:p w:rsidRPr="2030048C" w:rsidP="2030048C">
      <w:pPr>
        <w:rPr>
          <w:rFonts w:ascii="Arial" w:eastAsia="Arial" w:hAnsi="Arial" w:cs="Arial"/>
          <w:sz w:val="24"/>
          <w:szCs w:val="24"/>
        </w:rPr>
      </w:pPr>
      <w:r w:rsidRPr="2030048C">
        <w:rPr>
          <w:rFonts w:ascii="Arial" w:eastAsia="Arial" w:hAnsi="Arial" w:cs="Arial"/>
          <w:b/>
          <w:bCs/>
          <w:sz w:val="24"/>
          <w:szCs w:val="24"/>
        </w:rPr>
        <w:t>Interprofessional</w:t>
      </w:r>
      <w:r w:rsidRPr="2030048C">
        <w:rPr>
          <w:rFonts w:ascii="Arial" w:eastAsia="Arial" w:hAnsi="Arial" w:cs="Arial"/>
          <w:b/>
          <w:bCs/>
          <w:sz w:val="24"/>
          <w:szCs w:val="24"/>
        </w:rPr>
        <w:t xml:space="preserve"> learning</w:t>
      </w:r>
    </w:p>
    <w:p w:rsidRPr="2030048C" w:rsidP="2030048C">
      <w:pPr>
        <w:rPr>
          <w:rFonts w:ascii="Arial" w:eastAsia="Arial" w:hAnsi="Arial" w:cs="Arial"/>
          <w:sz w:val="24"/>
          <w:szCs w:val="24"/>
        </w:rPr>
      </w:pPr>
      <w:r w:rsidRPr="2030048C">
        <w:rPr>
          <w:rFonts w:ascii="Arial" w:eastAsia="Arial" w:hAnsi="Arial" w:cs="Arial"/>
          <w:sz w:val="24"/>
          <w:szCs w:val="24"/>
        </w:rPr>
        <w:t xml:space="preserve">The concept of </w:t>
      </w:r>
      <w:r w:rsidRPr="2030048C">
        <w:rPr>
          <w:rFonts w:ascii="Arial" w:eastAsia="Arial" w:hAnsi="Arial" w:cs="Arial"/>
          <w:sz w:val="24"/>
          <w:szCs w:val="24"/>
        </w:rPr>
        <w:t>interprofessional</w:t>
      </w:r>
      <w:r w:rsidRPr="2030048C">
        <w:rPr>
          <w:rFonts w:ascii="Arial" w:eastAsia="Arial" w:hAnsi="Arial" w:cs="Arial"/>
          <w:sz w:val="24"/>
          <w:szCs w:val="24"/>
        </w:rPr>
        <w:t xml:space="preserve"> learning is introduced at the outset of the programme and is spiralled throughout. During the programme students benefit from a wide range of </w:t>
      </w:r>
      <w:r w:rsidRPr="2030048C">
        <w:rPr>
          <w:rFonts w:ascii="Arial" w:eastAsia="Arial" w:hAnsi="Arial" w:cs="Arial"/>
          <w:sz w:val="24"/>
          <w:szCs w:val="24"/>
        </w:rPr>
        <w:t>Interprofessional</w:t>
      </w:r>
      <w:r w:rsidRPr="2030048C">
        <w:rPr>
          <w:rFonts w:ascii="Arial" w:eastAsia="Arial" w:hAnsi="Arial" w:cs="Arial"/>
          <w:sz w:val="24"/>
          <w:szCs w:val="24"/>
        </w:rPr>
        <w:t xml:space="preserve"> Learning (IPL), the primary opportunity for IPL being clinical placements where students learn from, and with, a variety of health and social care professionals. </w:t>
      </w:r>
    </w:p>
    <w:p w:rsidRPr="2030048C" w:rsidP="2030048C">
      <w:pPr>
        <w:rPr>
          <w:rFonts w:ascii="Arial" w:eastAsia="Arial" w:hAnsi="Arial" w:cs="Arial"/>
          <w:sz w:val="24"/>
          <w:szCs w:val="24"/>
        </w:rPr>
      </w:pPr>
      <w:r w:rsidRPr="2030048C">
        <w:rPr>
          <w:rFonts w:ascii="Arial" w:eastAsia="Arial" w:hAnsi="Arial" w:cs="Arial"/>
          <w:sz w:val="24"/>
          <w:szCs w:val="24"/>
        </w:rPr>
        <w:t xml:space="preserve">In Year 1 students will be introduced to members of the </w:t>
      </w:r>
      <w:r w:rsidRPr="2030048C">
        <w:rPr>
          <w:rFonts w:ascii="Arial" w:eastAsia="Arial" w:hAnsi="Arial" w:cs="Arial"/>
          <w:sz w:val="24"/>
          <w:szCs w:val="24"/>
        </w:rPr>
        <w:t>interprofessional</w:t>
      </w:r>
      <w:r w:rsidRPr="2030048C">
        <w:rPr>
          <w:rFonts w:ascii="Arial" w:eastAsia="Arial" w:hAnsi="Arial" w:cs="Arial"/>
          <w:sz w:val="24"/>
          <w:szCs w:val="24"/>
        </w:rPr>
        <w:t xml:space="preserve"> team so that they have an appreciation of the diverse range of professionals who are involved in people’s care. This enables students to understand their role in the person’s journey whilst on placement. The use of simulation and the ‘Virtual family’ in Year 1 builds upon these experiences.</w:t>
      </w:r>
    </w:p>
    <w:p w:rsidRPr="2030048C" w:rsidP="2030048C">
      <w:pPr>
        <w:rPr>
          <w:rFonts w:ascii="Arial" w:eastAsia="Arial" w:hAnsi="Arial" w:cs="Arial"/>
          <w:sz w:val="24"/>
          <w:szCs w:val="24"/>
        </w:rPr>
      </w:pPr>
      <w:r w:rsidRPr="2030048C">
        <w:rPr>
          <w:rFonts w:ascii="Arial" w:eastAsia="Arial" w:hAnsi="Arial" w:cs="Arial"/>
          <w:sz w:val="24"/>
          <w:szCs w:val="24"/>
        </w:rPr>
        <w:t xml:space="preserve">The ‘Acutely unwell person’ and ‘Long-term conditions’ modules in Year 2 allow students to gain a deeper understanding of the role of the </w:t>
      </w:r>
      <w:r w:rsidRPr="2030048C">
        <w:rPr>
          <w:rFonts w:ascii="Arial" w:eastAsia="Arial" w:hAnsi="Arial" w:cs="Arial"/>
          <w:sz w:val="24"/>
          <w:szCs w:val="24"/>
        </w:rPr>
        <w:t>interprofessional</w:t>
      </w:r>
      <w:r w:rsidRPr="2030048C">
        <w:rPr>
          <w:rFonts w:ascii="Arial" w:eastAsia="Arial" w:hAnsi="Arial" w:cs="Arial"/>
          <w:sz w:val="24"/>
          <w:szCs w:val="24"/>
        </w:rPr>
        <w:t xml:space="preserve"> workforce to allow them to develop working relationships with members of the </w:t>
      </w:r>
      <w:r w:rsidRPr="2030048C">
        <w:rPr>
          <w:rFonts w:ascii="Arial" w:eastAsia="Arial" w:hAnsi="Arial" w:cs="Arial"/>
          <w:sz w:val="24"/>
          <w:szCs w:val="24"/>
        </w:rPr>
        <w:t>interprofessional</w:t>
      </w:r>
      <w:r w:rsidRPr="2030048C">
        <w:rPr>
          <w:rFonts w:ascii="Arial" w:eastAsia="Arial" w:hAnsi="Arial" w:cs="Arial"/>
          <w:sz w:val="24"/>
          <w:szCs w:val="24"/>
        </w:rPr>
        <w:t xml:space="preserve"> team.</w:t>
      </w:r>
    </w:p>
    <w:p w:rsidRPr="2030048C" w:rsidP="2030048C">
      <w:pPr>
        <w:rPr>
          <w:rFonts w:ascii="Arial" w:eastAsia="Arial" w:hAnsi="Arial" w:cs="Arial"/>
          <w:sz w:val="24"/>
          <w:szCs w:val="24"/>
        </w:rPr>
      </w:pPr>
      <w:r w:rsidRPr="2030048C">
        <w:rPr>
          <w:rFonts w:ascii="Arial" w:eastAsia="Arial" w:hAnsi="Arial" w:cs="Arial"/>
          <w:sz w:val="24"/>
          <w:szCs w:val="24"/>
        </w:rPr>
        <w:t xml:space="preserve">Learning activities with different professional groups are also undertaken within the classroom and within the Clinical Skills and Simulation Suite. </w:t>
      </w:r>
    </w:p>
    <w:p w:rsidRPr="2030048C" w:rsidP="2030048C">
      <w:pPr>
        <w:rPr>
          <w:rFonts w:ascii="Arial" w:eastAsia="Arial" w:hAnsi="Arial" w:cs="Arial"/>
          <w:sz w:val="24"/>
          <w:szCs w:val="24"/>
        </w:rPr>
      </w:pPr>
      <w:r w:rsidRPr="2030048C">
        <w:rPr>
          <w:rFonts w:ascii="Arial" w:eastAsia="Arial" w:hAnsi="Arial" w:cs="Arial"/>
          <w:b/>
          <w:bCs/>
          <w:sz w:val="24"/>
          <w:szCs w:val="24"/>
        </w:rPr>
        <w:t>Placement learning</w:t>
      </w:r>
    </w:p>
    <w:p w:rsidRPr="2030048C" w:rsidP="2030048C">
      <w:pPr>
        <w:rPr>
          <w:rFonts w:ascii="Arial" w:eastAsia="Arial" w:hAnsi="Arial" w:cs="Arial"/>
          <w:sz w:val="24"/>
          <w:szCs w:val="24"/>
        </w:rPr>
      </w:pPr>
      <w:r w:rsidRPr="2030048C">
        <w:rPr>
          <w:rFonts w:ascii="Arial" w:eastAsia="Arial" w:hAnsi="Arial" w:cs="Arial"/>
          <w:sz w:val="24"/>
          <w:szCs w:val="24"/>
        </w:rPr>
        <w:t xml:space="preserve">Practice learning is an integral part of the programme and students undertake practice learning placements in a range of settings. These are planned centrally by the Faculty’s placement office, overseen by the Director for Practice Learning and Course Leader. Placements are selected to ensure breadth of clinical experience and exposure to diverse client groups of different ages so that students become proficient in meeting the holistic needs of people across the lifespan and can successfully demonstrate the full range of competencies, skills and nursing procedures defined in the Nursing and Midwifery Council’s Standards of Proficiency for Nursing Associates (NMC, 2018b).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All placements are preceded by a timetabled preparation session which introduces the aims of the placement and the nature of learning opportunities, so that students are able to recognise the full potential of learning situations. The session also covers the assessment of practice learning which is assessed using the England Nursing Associate Practice Assessment Document (NAPAD). The two-part document provides a framework to guide, direct and assess placement learning at each stage of the programme and is used to assess professional values, competencies and skills relating to the six NMC platforms. It also includes sections for the student to record and reflect on their practice placement and any outreach activities they may have undertaken during the placement.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w:t>
      </w:r>
    </w:p>
    <w:p w:rsidRPr="2030048C" w:rsidP="2030048C">
      <w:pPr>
        <w:rPr>
          <w:rFonts w:ascii="Arial" w:eastAsia="Arial" w:hAnsi="Arial" w:cs="Arial"/>
          <w:sz w:val="24"/>
          <w:szCs w:val="24"/>
        </w:rPr>
      </w:pPr>
      <w:r w:rsidRPr="2030048C">
        <w:rPr>
          <w:rFonts w:ascii="Arial" w:eastAsia="Arial" w:hAnsi="Arial" w:cs="Arial"/>
          <w:sz w:val="24"/>
          <w:szCs w:val="24"/>
        </w:rPr>
        <w:t xml:space="preserve">Placement learning is supported by simulated learning within the Faculty’s Clinical Skills and Simulation Suite, where clinical skill acquisition is developed in a safe and supportive environment. Simulated learning uses role players who represent all fields of practice to enhance breadth and depth of learning. Further planned developments include the introduction of technology enhanced learning, for example the use of patient simulators, live video streaming and Electronic Patient Records (EPR).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external placements students will also be allocated protected time within their base placement for practice learning. Protected learning time is defined by the NMC (2018) as time in a health or care setting during which students are learning and are supported to learn. The time spent on protected practice learning will be recorded by the student within Section B of the Ongoing Assessment Record (OAR) and confirmed by their practice supervisor/assessor.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 xml:space="preserve">Assessment strategy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assessment of students’ learning is staged throughout the academic year to ensure coherence and an even, manageable workload. Assessment tasks have been planned to ensure parity of student effort between modules: word limits for written assignments have been standardised across the academic levels, with reference to credit volumes and number of assessments per module:</w:t>
      </w:r>
    </w:p>
    <w:p w:rsidRPr="2030048C" w:rsidP="2030048C">
      <w:pPr>
        <w:rPr>
          <w:rFonts w:ascii="Arial" w:eastAsia="Arial" w:hAnsi="Arial" w:cs="Arial"/>
          <w:sz w:val="24"/>
          <w:szCs w:val="24"/>
        </w:rPr>
      </w:pPr>
      <w:r w:rsidRPr="2030048C">
        <w:rPr>
          <w:rFonts w:ascii="Arial" w:eastAsia="Arial" w:hAnsi="Arial" w:cs="Arial"/>
          <w:sz w:val="24"/>
          <w:szCs w:val="24"/>
        </w:rPr>
        <w:t>Level 4</w:t>
      </w:r>
      <w:r w:rsidRPr="2030048C">
        <w:rPr>
          <w:rFonts w:ascii="Arial" w:eastAsia="Arial" w:hAnsi="Arial" w:cs="Arial"/>
          <w:sz w:val="24"/>
          <w:szCs w:val="24"/>
        </w:rPr>
        <w:t> </w:t>
      </w:r>
      <w:r w:rsidRPr="2030048C">
        <w:rPr>
          <w:rFonts w:ascii="Arial" w:eastAsia="Arial" w:hAnsi="Arial" w:cs="Arial"/>
          <w:sz w:val="24"/>
          <w:szCs w:val="24"/>
        </w:rPr>
        <w:t>      </w:t>
      </w:r>
      <w:r w:rsidRPr="2030048C">
        <w:rPr>
          <w:rFonts w:ascii="Arial" w:eastAsia="Arial" w:hAnsi="Arial" w:cs="Arial"/>
          <w:sz w:val="24"/>
          <w:szCs w:val="24"/>
        </w:rPr>
        <w:t>15 credits: 1,500</w:t>
      </w:r>
    </w:p>
    <w:p w:rsidRPr="2030048C" w:rsidP="2030048C">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 </w:t>
      </w:r>
      <w:r w:rsidRPr="2030048C">
        <w:rPr>
          <w:rFonts w:ascii="Arial" w:eastAsia="Arial" w:hAnsi="Arial" w:cs="Arial"/>
          <w:sz w:val="24"/>
          <w:szCs w:val="24"/>
        </w:rPr>
        <w:t>30 credits: 2,000</w:t>
      </w:r>
    </w:p>
    <w:p w:rsidRPr="2030048C" w:rsidP="2030048C">
      <w:pPr>
        <w:rPr>
          <w:rFonts w:ascii="Arial" w:eastAsia="Arial" w:hAnsi="Arial" w:cs="Arial"/>
          <w:sz w:val="24"/>
          <w:szCs w:val="24"/>
        </w:rPr>
      </w:pPr>
      <w:r w:rsidRPr="2030048C">
        <w:rPr>
          <w:rFonts w:ascii="Arial" w:eastAsia="Arial" w:hAnsi="Arial" w:cs="Arial"/>
          <w:sz w:val="24"/>
          <w:szCs w:val="24"/>
        </w:rPr>
        <w:t>Level 5</w:t>
      </w:r>
      <w:r w:rsidRPr="2030048C">
        <w:rPr>
          <w:rFonts w:ascii="Arial" w:eastAsia="Arial" w:hAnsi="Arial" w:cs="Arial"/>
          <w:sz w:val="24"/>
          <w:szCs w:val="24"/>
        </w:rPr>
        <w:t> </w:t>
      </w:r>
      <w:r w:rsidRPr="2030048C">
        <w:rPr>
          <w:rFonts w:ascii="Arial" w:eastAsia="Arial" w:hAnsi="Arial" w:cs="Arial"/>
          <w:sz w:val="24"/>
          <w:szCs w:val="24"/>
        </w:rPr>
        <w:t>      </w:t>
      </w:r>
      <w:r w:rsidRPr="2030048C">
        <w:rPr>
          <w:rFonts w:ascii="Arial" w:eastAsia="Arial" w:hAnsi="Arial" w:cs="Arial"/>
          <w:sz w:val="24"/>
          <w:szCs w:val="24"/>
        </w:rPr>
        <w:t>15 credits: 2,000</w:t>
      </w:r>
    </w:p>
    <w:p w:rsidRPr="2030048C" w:rsidP="2030048C">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 </w:t>
      </w:r>
      <w:r w:rsidRPr="2030048C">
        <w:rPr>
          <w:rFonts w:ascii="Arial" w:eastAsia="Arial" w:hAnsi="Arial" w:cs="Arial"/>
          <w:sz w:val="24"/>
          <w:szCs w:val="24"/>
        </w:rPr>
        <w:t>30 credits: 2,500.</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skills, and achieve their full potential. The first assessment attracts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coursework and practical assessments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2.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Assessment of practice is achieved through successful completion of the practice assessment document and objective structured clinical assessments (OSCAs), in conjunction with successful sign-off in practice by a practice assessor and an academic assessor at the end of Years 1 and 2. Students require a pass in both theory and practice to achieve their final award. </w:t>
      </w:r>
    </w:p>
    <w:p w:rsidRPr="2030048C" w:rsidP="2030048C">
      <w:pPr>
        <w:rPr>
          <w:rFonts w:ascii="Arial" w:eastAsia="Arial" w:hAnsi="Arial" w:cs="Arial"/>
          <w:sz w:val="24"/>
          <w:szCs w:val="24"/>
        </w:rPr>
      </w:pPr>
      <w:r w:rsidRPr="2030048C">
        <w:rPr>
          <w:rFonts w:ascii="Arial" w:eastAsia="Arial" w:hAnsi="Arial" w:cs="Arial"/>
          <w:b/>
          <w:bCs/>
          <w:sz w:val="24"/>
          <w:szCs w:val="24"/>
        </w:rPr>
        <w:t>Extra-curricular activities</w:t>
      </w:r>
    </w:p>
    <w:p w:rsidRPr="2030048C" w:rsidP="2030048C">
      <w:pPr>
        <w:rPr>
          <w:rFonts w:ascii="Arial" w:eastAsia="Arial" w:hAnsi="Arial" w:cs="Arial"/>
          <w:sz w:val="24"/>
          <w:szCs w:val="24"/>
        </w:rPr>
      </w:pPr>
      <w:r w:rsidRPr="2030048C">
        <w:rPr>
          <w:rFonts w:ascii="Arial" w:eastAsia="Arial" w:hAnsi="Arial" w:cs="Arial"/>
          <w:sz w:val="24"/>
          <w:szCs w:val="24"/>
        </w:rPr>
        <w:t xml:space="preserve">There are a wide range of extra-curricular activities which are available to students: </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 xml:space="preserve">the School of Nursing has an active Nursing Society, run by students, which organises student activities and which has facilitated a number of collaborations with staff; </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the</w:t>
      </w:r>
      <w:r w:rsidRPr="2030048C">
        <w:rPr>
          <w:rFonts w:ascii="Arial" w:eastAsia="Arial" w:hAnsi="Arial" w:cs="Arial"/>
          <w:sz w:val="24"/>
          <w:szCs w:val="24"/>
        </w:rPr>
        <w:t xml:space="preserve"> SNAP (Student Nurse Academic Partner) conference is a student-led conference for students, staff and clinical partners. Students develop their work with a member of academic staff for presentation and publication; </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 xml:space="preserve">SADRAS (Student Academic Development Research Associate Scheme) is a KU initiative which allows students to undertake a research project with an academic partner; </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the</w:t>
      </w:r>
      <w:r w:rsidRPr="2030048C">
        <w:rPr>
          <w:rFonts w:ascii="Arial" w:eastAsia="Arial" w:hAnsi="Arial" w:cs="Arial"/>
          <w:sz w:val="24"/>
          <w:szCs w:val="24"/>
        </w:rPr>
        <w:t xml:space="preserve"> KU Ambassador role is a paid role in which students provide support for open days, welcome events and induction; </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the</w:t>
      </w:r>
      <w:r w:rsidRPr="2030048C">
        <w:rPr>
          <w:rFonts w:ascii="Arial" w:eastAsia="Arial" w:hAnsi="Arial" w:cs="Arial"/>
          <w:sz w:val="24"/>
          <w:szCs w:val="24"/>
        </w:rPr>
        <w:t xml:space="preserve"> Kingston Award is a scheme that allows students to gain recognition for their extra-curricular work and can be used to enhance the student’s CV when applying for their first job. </w:t>
      </w:r>
    </w:p>
    <w:p w:rsidRPr="2030048C" w:rsidP="2030048C">
      <w:pPr>
        <w:rPr>
          <w:rFonts w:ascii="Arial" w:eastAsia="Arial" w:hAnsi="Arial" w:cs="Arial"/>
          <w:sz w:val="24"/>
          <w:szCs w:val="24"/>
        </w:rPr>
      </w:pPr>
      <w:r w:rsidRPr="2030048C">
        <w:rPr>
          <w:rFonts w:ascii="Arial" w:eastAsia="Arial" w:hAnsi="Arial" w:cs="Arial"/>
          <w:sz w:val="24"/>
          <w:szCs w:val="24"/>
        </w:rPr>
        <w:t>There are numerous other opportunities for paid and unpaid roles, volunteering, sports and societies. Students can also access activities at St. George’s University of London’s Student Union. Student nominations for University and national awards (e.g. Nursing Times Awards) are encouraged.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4"/>
          <w:szCs w:val="24"/>
        </w:rPr>
        <w:t>The Nursing Associate Foundation Degree is a demanding course, both personally and academically. Students are recruited from diverse academic backgrounds, some with relatively few academic qualifications. Strong emphasis is placed on supporting students to achieve and, in order to promote successful outcomes, the course team has evolved structures to support students’ wide-ranging needs. Academic skills development is introduced during the induction weeks and, thereafter, spiraled throughout the curriculum via two 15 credit ‘Personal and professional development’ modules. These run longitudinally in each year, embedding academic and key skills development and supporting students’ academic and professional growth. This approach tailors support to the academic level of study to ensure students develop their skills appropriately. Diagnostic work is set for all students at the start of the programme in the ‘Personal and professional development’ module and enables the course team to identify those students who may benefit from additional input with academic or functional skills, for example mature entrants who may not have studied for some time and who may benefit from some early, focused support to refresh their study skills, mathematics or written English. In addition to these two modules the programme team and University provide a comprehensive matrix of roles and centralised services which are freely available to students throughout their studies. These include: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 xml:space="preserve">Personal Tutor Scheme: Pastoral care is a strong feature of the Nursing Associate Foundation Degree. Most students on the programme are entering higher education for the first time and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to the School’s dedicated specialist lecturer for academic support who can provide one-to-one assistance with academic skill development.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Specialist lecturer with a remit for academic support: students can self-refer or be referred by any member of academic staff for one-to-one tutoring to support writing/academic skills; English language development; learning difference needs (e.g.  dyslexia).</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‘Buddy’ system: first-year students are buddied with a second-year student who is able to provide informal guidance and peer support from their own experience as a learner. This informal sharing of learning facilitates the growth of confidence in new learners and provides a network of support. It also assists second-year students develop the supervision and supporting skills they require for professional practice.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Academic Skills Centres: self-referral drop-in centres staffed by specialist academic support lecturers who provide small group and one to one support.</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Canvas: The University uses Canvas as its virtual learning environment which provides a versatile, interactive learning platform.</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IT support: Canvas has its own dedicated 24-hour support available to students. Additional IT support can be accessed via ‘My Kingston’.</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Access to world-class learning resource centres (LRC), online learning facilities and other learning support. LRC support staff offer academic skills development both within the LRC and also integrated into module delivery.</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Qualified disability advisor who gives guidance on reasonable adjustments and support for the student and advises academic staff.</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Confidential counselling and pastoral support, including mental health support services.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Comprehensive occupational health services if required, beyond the employing organisation’s own provision.</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 xml:space="preserve">Practice learning support: Each student is allocated a named practice supervisor who has an overall responsibility for supporting the student and facilitating learning during practice placements. Additional support may also be available locally, such as practice educators and student placement coordinators. Each placement area is supported by a link lecturer: a member of faculty staff who visits the area and provides support to students placed there and their practice supervisor, as required. This support is supplemented by the recent appointment of a full-time lecturer for practice learning who is a member of the nursing associate course team and who has the specific remit of providing practice learning support for nursing associate students.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color w:val="000000"/>
          <w:sz w:val="24"/>
          <w:szCs w:val="24"/>
        </w:rPr>
        <w:t>Apprenticeship tripartite review meetings: These are held twice per year between apprentice student, employer and university (normally personal tutor) to review the student’s progress and support needs. The frequency of the meetings is confirmed in the apprenticeship Commitment Statement which is issued at the start of the course and signed by the employer, the student and university. It summarises the schedule, roles, responsibilities and funding to support the successful completion of the apprenticeship.</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 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w:t>
      </w:r>
      <w:r w:rsidRPr="2030048C">
        <w:rPr>
          <w:rFonts w:ascii="Arial" w:eastAsia="Arial" w:hAnsi="Arial" w:cs="Arial"/>
          <w:sz w:val="24"/>
          <w:szCs w:val="24"/>
        </w:rPr>
        <w:t>odule Evaluation Questionnaire (M</w:t>
      </w:r>
      <w:r w:rsidRPr="2030048C">
        <w:rPr>
          <w:rFonts w:ascii="Arial" w:eastAsia="Arial" w:hAnsi="Arial" w:cs="Arial"/>
          <w:sz w:val="24"/>
          <w:szCs w:val="24"/>
        </w:rPr>
        <w:t>EQs</w:t>
      </w:r>
      <w:r w:rsidRPr="2030048C">
        <w:rPr>
          <w:rFonts w:ascii="Arial" w:eastAsia="Arial" w:hAnsi="Arial" w:cs="Arial"/>
          <w:sz w:val="24"/>
          <w:szCs w:val="24"/>
        </w:rPr>
        <w:t>)</w:t>
      </w:r>
      <w:r w:rsidRPr="2030048C">
        <w:rPr>
          <w:rFonts w:ascii="Arial" w:eastAsia="Arial" w:hAnsi="Arial" w:cs="Arial"/>
          <w:sz w:val="24"/>
          <w:szCs w:val="24"/>
        </w:rPr>
        <w:t>, level surveys and the N</w:t>
      </w:r>
      <w:r w:rsidRPr="2030048C">
        <w:rPr>
          <w:rFonts w:ascii="Arial" w:eastAsia="Arial" w:hAnsi="Arial" w:cs="Arial"/>
          <w:sz w:val="24"/>
          <w:szCs w:val="24"/>
        </w:rPr>
        <w:t>ational Student Survey (NSS)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Staff Student Consultative Committee</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Faculty forum</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NMC/QAA Major Review of Nursing and Midwifery approved programmes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Health Education South London Quality Contract Performance Monitoring</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Consultation with employers, practice partners and service users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PSRB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Apprenticeship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70"/>
        <w:gridCol w:w="287"/>
        <w:gridCol w:w="735"/>
        <w:gridCol w:w="735"/>
        <w:gridCol w:w="735"/>
        <w:gridCol w:w="735"/>
        <w:gridCol w:w="735"/>
        <w:gridCol w:w="2"/>
        <w:gridCol w:w="733"/>
        <w:gridCol w:w="735"/>
        <w:gridCol w:w="735"/>
        <w:gridCol w:w="735"/>
        <w:gridCol w:w="73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NU4005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NU5001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first">
    <w:name w:val="first"/>
    <w:basedOn w:val="Normal"/>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5FE27CC-0AA7-4621-9214-F5D3F34177E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