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FdSc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Nursing Associate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30/03/2019</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23/09/2024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10</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Nursing, Allied and Public Health</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Public Health and Children’s, Learning Disabilities and Mental Health Nursing</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School of Nursing</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FdSc</w:t>
            </w:r>
            <w:r w:rsidRPr="01DA1EA0">
              <w:rPr>
                <w:rFonts w:ascii="Arial" w:hAnsi="Arial" w:cs="Arial"/>
                <w:sz w:val="22"/>
                <w:szCs w:val="22"/>
              </w:rPr>
              <w:t xml:space="preserve"> </w:t>
            </w:r>
            <w:r w:rsidRPr="01DA1EA0">
              <w:rPr>
                <w:rFonts w:ascii="Arial" w:hAnsi="Arial" w:cs="Arial"/>
                <w:sz w:val="22"/>
                <w:szCs w:val="22"/>
              </w:rPr>
              <w:t>Nursing Associate</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Certificate of Higher Education in Healthcare</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UFNUA1NUA70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B745</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School of Nursing</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Hill Campus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NormalWeb"/>
              <w:rPr>
                <w:rStyle w:val="normaltextrun"/>
                <w:rFonts w:ascii="Arial" w:hAnsi="Arial" w:cs="Arial"/>
                <w:color w:val="000000"/>
                <w:sz w:val="22"/>
                <w:szCs w:val="22"/>
                <w:shd w:val="clear" w:color="auto" w:fill="FFFFFF"/>
              </w:rPr>
            </w:pPr>
            <w:r>
              <w:rPr>
                <w:rStyle w:val="Strong"/>
                <w:rFonts w:ascii="Arial" w:hAnsi="Arial" w:cs="Arial"/>
                <w:b/>
                <w:bCs/>
                <w:color w:val="000000"/>
                <w:sz w:val="22"/>
                <w:szCs w:val="22"/>
                <w:shd w:val="clear" w:color="auto" w:fill="FFFFFF"/>
              </w:rPr>
              <w:t>UCAS tariff points:</w:t>
            </w:r>
            <w:r>
              <w:rPr>
                <w:rStyle w:val="normaltextrun"/>
                <w:rFonts w:ascii="Arial" w:hAnsi="Arial" w:cs="Arial"/>
                <w:b/>
                <w:bCs/>
                <w:color w:val="000000"/>
                <w:sz w:val="22"/>
                <w:szCs w:val="22"/>
                <w:shd w:val="clear" w:color="auto" w:fill="FFFFFF"/>
              </w:rPr>
              <w:t> </w:t>
            </w:r>
            <w:r>
              <w:rPr>
                <w:rStyle w:val="normaltextrun"/>
                <w:rFonts w:ascii="Arial" w:hAnsi="Arial" w:cs="Arial"/>
                <w:color w:val="000000"/>
                <w:sz w:val="22"/>
                <w:szCs w:val="22"/>
                <w:shd w:val="clear" w:color="auto" w:fill="FFFFFF"/>
              </w:rPr>
              <w:t>56</w:t>
            </w:r>
          </w:p>
          <w:p w:rsidP="0BF386EB">
            <w:pPr>
              <w:pStyle w:val="NormalWeb"/>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GCSE at grade 4 or above (or grade C or above for GCSEs taken before 2017) in English Language and Mathematics or equivalent qualification e.g. Functional/Key skills Level 2 in numeracy and literacy; AND Learning at Level 3 by qualification (normally 56 UCAS points) OR two years of verifiable and relevant work experience.</w:t>
            </w:r>
          </w:p>
          <w:p w:rsidP="0BF386EB">
            <w:pPr>
              <w:pStyle w:val="NormalWeb"/>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Admission is subject to occupational health screening and a Disclosure Barring Service (DBS) enhanced check.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All applicants who meet the minimum requirements are required to attend </w:t>
            </w:r>
            <w:r>
              <w:rPr>
                <w:rStyle w:val="normaltextrun"/>
                <w:rFonts w:ascii="Arial" w:hAnsi="Arial" w:cs="Arial"/>
                <w:color w:val="000000"/>
                <w:sz w:val="22"/>
                <w:szCs w:val="22"/>
                <w:shd w:val="clear" w:color="auto" w:fill="FFFFFF"/>
              </w:rPr>
              <w:t xml:space="preserve">a selection day which includes a </w:t>
            </w:r>
            <w:r>
              <w:rPr>
                <w:rStyle w:val="normaltextrun"/>
                <w:rFonts w:ascii="Arial" w:hAnsi="Arial" w:cs="Arial"/>
                <w:color w:val="000000"/>
                <w:sz w:val="22"/>
                <w:szCs w:val="22"/>
                <w:shd w:val="clear" w:color="auto" w:fill="FFFFFF"/>
              </w:rPr>
              <w:t xml:space="preserve">values-based interview (multiple mini interviews) </w:t>
            </w:r>
            <w:r>
              <w:rPr>
                <w:rStyle w:val="normaltextrun"/>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Recognition of Prior Certificated Learning (RPCL)</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claim for credit exemption may be permissible </w:t>
            </w:r>
            <w:r>
              <w:rPr>
                <w:rStyle w:val="normaltextrun"/>
                <w:rFonts w:ascii="Arial" w:hAnsi="Arial" w:cs="Arial"/>
                <w:color w:val="000000"/>
                <w:sz w:val="22"/>
                <w:szCs w:val="22"/>
                <w:shd w:val="clear" w:color="auto" w:fill="FFFFFF"/>
              </w:rPr>
              <w:t xml:space="preserve">for applicants who have evidence of equivalent prior certificated learning. This is normally anticipated prior to entry and may be presented at the pre-interview or interview stage. </w:t>
            </w:r>
            <w:r>
              <w:rPr>
                <w:rStyle w:val="normaltextrun"/>
                <w:rFonts w:ascii="Arial" w:hAnsi="Arial" w:cs="Arial"/>
                <w:color w:val="000000"/>
                <w:sz w:val="22"/>
                <w:szCs w:val="22"/>
                <w:shd w:val="clear" w:color="auto" w:fill="FFFFFF"/>
              </w:rPr>
              <w:t xml:space="preserve">Credit exemption will be given for verified prior certificated learning which replicates, in content, level and currency, modules within the nursing associate </w:t>
            </w:r>
            <w:r>
              <w:rPr>
                <w:rStyle w:val="normaltextrun"/>
                <w:rFonts w:ascii="Arial" w:hAnsi="Arial" w:cs="Arial"/>
                <w:color w:val="000000"/>
                <w:sz w:val="22"/>
                <w:szCs w:val="22"/>
                <w:shd w:val="clear" w:color="auto" w:fill="FFFFFF"/>
              </w:rPr>
              <w:t xml:space="preserve">programme </w:t>
            </w:r>
            <w:r>
              <w:rPr>
                <w:rStyle w:val="normaltextrun"/>
                <w:rFonts w:ascii="Arial" w:hAnsi="Arial" w:cs="Arial"/>
                <w:color w:val="000000"/>
                <w:sz w:val="22"/>
                <w:szCs w:val="22"/>
                <w:shd w:val="clear" w:color="auto" w:fill="FFFFFF"/>
              </w:rPr>
              <w:t>up to the maximum 50% allowance set by the Nursing and Midwifery Council.</w:t>
            </w:r>
            <w:r>
              <w:rPr>
                <w:rStyle w:val="normaltextrun"/>
                <w:rFonts w:ascii="Arial" w:hAnsi="Arial" w:cs="Arial"/>
                <w:color w:val="000000"/>
                <w:sz w:val="22"/>
                <w:szCs w:val="22"/>
                <w:shd w:val="clear" w:color="auto" w:fill="FFFFFF"/>
              </w:rPr>
              <w:t xml:space="preserve"> The minimum amount of credit that will be awarded is one module. Guidance on preparing a claim will be provided to applicants by the admissions </w:t>
            </w:r>
            <w:r>
              <w:rPr>
                <w:rStyle w:val="normaltextrun"/>
                <w:rFonts w:ascii="Arial" w:hAnsi="Arial" w:cs="Arial"/>
                <w:color w:val="000000"/>
                <w:sz w:val="22"/>
                <w:szCs w:val="22"/>
                <w:shd w:val="clear" w:color="auto" w:fill="FFFFFF"/>
              </w:rPr>
              <w:t xml:space="preserve">tutor/course team, in accordance with the </w:t>
            </w:r>
            <w:r>
              <w:rPr>
                <w:rStyle w:val="normaltextrun"/>
                <w:rFonts w:ascii="Arial" w:hAnsi="Arial" w:cs="Arial"/>
                <w:color w:val="000000"/>
                <w:sz w:val="22"/>
                <w:szCs w:val="22"/>
                <w:shd w:val="clear" w:color="auto" w:fill="FFFFFF"/>
              </w:rPr>
              <w:t>Academic and Quality Standards, Kingston University 2018/19 (see section H – Accreditation processes in giving advice). Claims will be assessed on a case-by-case basis</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This maximum limit of 50% does not apply to applicants to pre-registration nursing associate programmes who are currently a NMC registered nurse without restrictions on their practice. </w:t>
            </w: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English language requirements</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Non-native speakers who do not have the equivalent of GCSE English at grade 4 (e.g. Functional Skills Level 2 Literacy) require an IELTS overall score of 7.0, with a </w:t>
            </w:r>
            <w:r>
              <w:rPr>
                <w:rStyle w:val="normaltextrun"/>
                <w:rFonts w:ascii="Arial" w:hAnsi="Arial" w:cs="Arial"/>
                <w:color w:val="000000"/>
                <w:sz w:val="22"/>
                <w:szCs w:val="22"/>
                <w:shd w:val="clear" w:color="auto" w:fill="FFFFFF"/>
              </w:rPr>
              <w:t>minimum of 6.5 in writing and a minimum of 7.0 in reading, listening and speaking</w:t>
            </w:r>
            <w:r>
              <w:rPr>
                <w:rStyle w:val="normaltextrun"/>
                <w:rFonts w:ascii="Arial" w:hAnsi="Arial" w:cs="Arial"/>
                <w:color w:val="000000"/>
                <w:sz w:val="22"/>
                <w:szCs w:val="22"/>
                <w:shd w:val="clear" w:color="auto" w:fill="FFFFFF"/>
              </w:rPr>
              <w:t xml:space="preserve"> (or equivalent scores in another recognised testing system).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Nursing and Midwifery Council</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(NMC)</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programme has approval for the following variants:</w:t>
            </w:r>
          </w:p>
          <w:p w:rsidP="0BF386EB">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Year 1: three 30 credit modules and two 15 credit modules;</w:t>
            </w:r>
          </w:p>
          <w:p w:rsidP="0BF386EB">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Year 2: three 30 credit modules and two 15 credit modules;</w:t>
            </w:r>
          </w:p>
          <w:p w:rsidP="0BF386EB">
            <w:pPr>
              <w:pStyle w:val="ListParagraph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there is no compensation in assessments across theory and practice learning;</w:t>
            </w:r>
          </w:p>
          <w:p w:rsidP="0BF386EB">
            <w:pPr>
              <w:pStyle w:val="ListParagraph0"/>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only two attempts at the practice assessment document are permitted;</w:t>
            </w:r>
          </w:p>
          <w:p w:rsidP="0BF386EB">
            <w:pPr>
              <w:pStyle w:val="ListParagraph0"/>
              <w:widowControl w:val="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w:t>
            </w:r>
            <w:r>
              <w:rPr>
                <w:rStyle w:val="normaltextrun"/>
                <w:rFonts w:ascii="Arial" w:eastAsia="Arial" w:hAnsi="Arial" w:cs="Arial"/>
                <w:color w:val="000000"/>
                <w:sz w:val="22"/>
                <w:szCs w:val="22"/>
                <w:shd w:val="clear" w:color="auto" w:fill="FFFFFF"/>
              </w:rPr>
              <w:t xml:space="preserve"> degree classification will be based on 90 credits at level 5.</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programme will prepare students to meet the NMC Standards of Proficiency for Nursing Associates (2018b), so that they may apply for entry to the NMC Register as Registered Nursing Associates upon course completion.</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The specific programme aims are to:</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contemporary, evidence-based nursing education which meets the needs of students, service users and local health and social care employers.</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accountable, safe, compassionate and resilient practitioners who demonstrate professional attitudes and behaviours consistent with the NMC Code.</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students’ knowledge and understanding of core, generic, evidence-based nursing theory and practice, enabling application of learning through a range of supervised practice-based placements.</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Foster in students the value and benefits of collaborative working with service-users, carers and health and social care professionals, in order to achieve optimum individualised person-centred care.</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Nurture students’ personal and professional development in readiness for employment as nursing associates, equipping them with problem solving, analytical, practical and key graduate (transferable) skills, including the ability to be independent, reflective, lifelong learners.</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Frameworks</w:t>
      </w:r>
      <w:r w:rsidRPr="007C4290">
        <w:rPr>
          <w:rStyle w:val="normaltextrun"/>
          <w:rFonts w:ascii="Arial" w:hAnsi="Arial" w:cs="Arial"/>
          <w:color w:val="000000" w:themeColor="text1"/>
          <w:sz w:val="22"/>
          <w:szCs w:val="22"/>
          <w:shd w:val="clear" w:color="auto" w:fill="FFFFFF"/>
        </w:rPr>
        <w:t xml:space="preserve"> for Higher Education Qualifications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of UK Degree-Awarding Bodies</w:t>
      </w:r>
      <w:r w:rsidRPr="007C4290">
        <w:rPr>
          <w:rStyle w:val="normaltextrun"/>
          <w:rFonts w:ascii="Arial" w:hAnsi="Arial" w:cs="Arial"/>
          <w:color w:val="000000" w:themeColor="text1"/>
          <w:sz w:val="22"/>
          <w:szCs w:val="22"/>
          <w:shd w:val="clear" w:color="auto" w:fill="FFFFFF"/>
        </w:rPr>
        <w:t xml:space="preserve"> (2014), and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They have been mapped to the NMC Standards of Proficiency for Nursing Associates (NMC, 2018b</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course provides opportunities for students to develop and demonstrate knowledge and understanding specific to the subject, key skills and graduate attributes in the following areas:</w:t>
      </w:r>
      <w:r w:rsidRPr="007C4290">
        <w:rPr>
          <w:rStyle w:val="normaltextrun"/>
          <w:rFonts w:ascii="Arial" w:hAnsi="Arial" w:cs="Arial"/>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knowledge of management, leadership and organisation of health care systems within the NHS, independent and voluntary sectors to own area of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Apply problem-solving and enquiry skills in order to appraise and interpret healthcare information, and its quality and relevance to care in own area of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Recognise and respond appropriately to situations in day-to-day clinical practice, demonstrating technical competence and expertise.</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detailed knowledge of health promotion and disease prevention principles in maintaining and improving the physical and mental health and wellbeing of service users in different settings and across the lifespan.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skills and attributes of a reflective practitioner and autonomous learner, with commitment to personal and professional development, including resilience.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Work collaboratively and in partnership with service users, carers and other members of the multi-disciplinary team to provide integrated person-centred care, whilst recognising own limitations and professional boundaries.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Evaluate practice and explore strategies for monitoring own performance and that of others, in order to promote high quality, safe care.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Access, input and analyse information using a range of verbal, non-verbal, written and digital skills.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contemporary research-based evidence to the planning, delivery and evaluation of flexible, safe, person-centred care in accordance with national and local policies and guidelines, including self-care where achievable.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knowledge and understanding of healthcare related ethical, legal and professional principles in order to promote equality, diversity, dignity and compassionate care within own area of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Apply an understanding of the concepts of leadership and teamwork to own role.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a variety of approaches to assess, identify and manage risk safely and effectively within the workplace and in line with published frameworks and risk tools, escalating concerns as appropriate.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detailed knowledge and understanding of anatomy, physiology and pathophysiology to the interpretation of clinical assessment and care.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Safely and accurately perform a range of skills relating to the assessment and care of service users from across the lifespan and in a range of settings.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behaviour and effective non-judgemental interpersonal communication skills.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the ability to communicate effectively with service users, carers and healthcare professionals.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Each level of study consists of four 30 credit modules.  Typically, a student must complete 120 credits at each level.  </w:t>
      </w:r>
      <w:r w:rsidRPr="66934EB1">
        <w:rPr>
          <w:rFonts w:ascii="Arial" w:eastAsia="Arial" w:hAnsi="Arial" w:cs="Arial"/>
          <w:color w:val="000000" w:themeColor="text1"/>
          <w:sz w:val="22"/>
          <w:szCs w:val="22"/>
        </w:rPr>
        <w:t>All students will be provided with the University regulations and specific additions required for accreditation by the professional regulator. Full details of each module will be provided in module descriptors and student module guides.</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FF0000"/>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FF0000"/>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FdSc</w:t>
      </w:r>
      <w:r w:rsidRPr="66934EB1">
        <w:rPr>
          <w:rFonts w:ascii="Calibri Light" w:eastAsia="Calibri Light" w:hAnsi="Calibri Light" w:cs="Calibri Light"/>
        </w:rPr>
        <w:t xml:space="preserve"> </w:t>
      </w:r>
      <w:r w:rsidRPr="66934EB1">
        <w:rPr>
          <w:rFonts w:ascii="Calibri Light" w:eastAsia="Calibri Light" w:hAnsi="Calibri Light" w:cs="Calibri Light"/>
        </w:rPr>
        <w:t>Nursing Associate</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FdSc</w:t>
            </w:r>
            <w:r w:rsidRPr="66934EB1">
              <w:rPr>
                <w:rFonts w:ascii="Arial" w:eastAsia="Arial" w:hAnsi="Arial" w:cs="Arial"/>
                <w:b/>
                <w:bCs/>
              </w:rPr>
              <w:t xml:space="preserve"> </w:t>
            </w:r>
            <w:r w:rsidRPr="66934EB1">
              <w:rPr>
                <w:rFonts w:ascii="Arial" w:eastAsia="Arial" w:hAnsi="Arial" w:cs="Arial"/>
                <w:b/>
                <w:bCs/>
              </w:rPr>
              <w:t>Nursing Associate</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Applied Anatomy and Physiology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NU4002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Personal and Professional Development 1</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NU4006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Promoting Health and Wellbeing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NU4005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Skills for Healthcare 1</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NU4003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This course permits progression from level 4 to level 5 with 90 credits at level 4 or above. The outstanding 30 credits from level 4 can be trailed into level 5.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who exit the programme at the end of part 1 and who have successfully completed 120 credits at level 4 are eligible for the award of Certificate of Higher Education in Healthcare. </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FdSc</w:t>
            </w:r>
            <w:r w:rsidRPr="66934EB1">
              <w:rPr>
                <w:rFonts w:ascii="Arial" w:eastAsia="Arial" w:hAnsi="Arial" w:cs="Arial"/>
                <w:b/>
                <w:bCs/>
              </w:rPr>
              <w:t xml:space="preserve"> </w:t>
            </w:r>
            <w:r w:rsidRPr="66934EB1">
              <w:rPr>
                <w:rFonts w:ascii="Arial" w:eastAsia="Arial" w:hAnsi="Arial" w:cs="Arial"/>
                <w:b/>
                <w:bCs/>
              </w:rPr>
              <w:t>Nursing Associate</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Long Term Conditions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NU5004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Personal and Professional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NU5006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Skills for Healthcare 2</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NU5002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The Acutely Unwell Person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NU5003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Heading3"/>
        <w:outlineLvl w:val="2"/>
        <w:rPr>
          <w:rFonts w:ascii="Arial" w:hAnsi="Arial" w:cs="Arial"/>
          <w:sz w:val="22"/>
          <w:szCs w:val="22"/>
        </w:rPr>
      </w:pPr>
      <w:r w:rsidRPr="503DC450">
        <w:rPr>
          <w:rFonts w:ascii="Arial" w:hAnsi="Arial" w:cs="Arial"/>
          <w:b/>
          <w:bCs/>
          <w:sz w:val="22"/>
          <w:szCs w:val="22"/>
        </w:rPr>
        <w:t>Programme design</w:t>
      </w:r>
    </w:p>
    <w:p w:rsidRPr="503DC450" w:rsidP="007D20BC">
      <w:pPr>
        <w:jc w:val="both"/>
        <w:rPr>
          <w:rFonts w:ascii="Arial" w:hAnsi="Arial" w:cs="Arial"/>
          <w:sz w:val="22"/>
          <w:szCs w:val="22"/>
        </w:rPr>
      </w:pPr>
      <w:r w:rsidRPr="503DC450">
        <w:rPr>
          <w:rFonts w:ascii="Arial" w:hAnsi="Arial" w:cs="Arial"/>
          <w:sz w:val="22"/>
          <w:szCs w:val="22"/>
        </w:rPr>
        <w:t xml:space="preserve">The programme is designed as a continuous process where theory and practice are interlinked and inform each other. Students engage with a number of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A number of curriculum threads are also developed throughout the programme using a spiraling approach. These core concepts have been identified from student, service user and employer feedback, and include critical thinking, evidence-based practice, pharmacology, fields of practice (e.g. mental health), interdisciplinary working, safeguarding, numeracy and academic skills. </w:t>
      </w:r>
    </w:p>
    <w:p w:rsidRPr="503DC450" w:rsidP="007D20BC">
      <w:pPr>
        <w:jc w:val="both"/>
        <w:rPr>
          <w:rFonts w:ascii="Arial" w:hAnsi="Arial" w:cs="Arial"/>
          <w:sz w:val="22"/>
          <w:szCs w:val="22"/>
        </w:rPr>
      </w:pPr>
      <w:r w:rsidRPr="503DC450">
        <w:rPr>
          <w:rFonts w:ascii="Arial" w:hAnsi="Arial" w:cs="Arial"/>
          <w:sz w:val="22"/>
          <w:szCs w:val="22"/>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w:t>
      </w:r>
      <w:r w:rsidRPr="503DC450">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w:t>
      </w:r>
      <w:r w:rsidRPr="503DC450">
        <w:rPr>
          <w:rFonts w:ascii="Arial" w:hAnsi="Arial" w:cs="Arial"/>
          <w:sz w:val="22"/>
          <w:szCs w:val="22"/>
        </w:rPr>
        <w:t>students</w:t>
      </w:r>
      <w:r w:rsidRPr="503DC450">
        <w:rPr>
          <w:rFonts w:ascii="Arial" w:hAnsi="Arial" w:cs="Arial"/>
          <w:sz w:val="22"/>
          <w:szCs w:val="22"/>
        </w:rPr>
        <w:t xml:space="preserve"> progress through the academic levels. </w:t>
      </w:r>
    </w:p>
    <w:p w:rsidRPr="503DC450" w:rsidP="007D20BC">
      <w:pPr>
        <w:jc w:val="both"/>
        <w:rPr>
          <w:rFonts w:ascii="Arial" w:hAnsi="Arial" w:cs="Arial"/>
          <w:sz w:val="22"/>
          <w:szCs w:val="22"/>
        </w:rPr>
      </w:pPr>
      <w:r w:rsidRPr="503DC450">
        <w:rPr>
          <w:rFonts w:ascii="Arial" w:hAnsi="Arial" w:cs="Arial"/>
          <w:sz w:val="22"/>
          <w:szCs w:val="22"/>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rsidRPr="503DC450" w:rsidP="007D20BC">
      <w:pPr>
        <w:pStyle w:val="Heading3"/>
        <w:jc w:val="both"/>
        <w:outlineLvl w:val="2"/>
        <w:rPr>
          <w:rFonts w:ascii="Arial" w:hAnsi="Arial" w:cs="Arial"/>
          <w:sz w:val="22"/>
          <w:szCs w:val="22"/>
        </w:rPr>
      </w:pPr>
      <w:r w:rsidRPr="503DC450">
        <w:rPr>
          <w:rFonts w:ascii="Arial" w:hAnsi="Arial" w:cs="Arial"/>
          <w:b/>
          <w:bCs/>
          <w:sz w:val="22"/>
          <w:szCs w:val="22"/>
        </w:rPr>
        <w:t>Service user, employer and student input to programme design and delivery</w:t>
      </w:r>
    </w:p>
    <w:p w:rsidRPr="503DC450" w:rsidP="007D20BC">
      <w:pPr>
        <w:jc w:val="both"/>
        <w:rPr>
          <w:rFonts w:ascii="Arial" w:hAnsi="Arial" w:cs="Arial"/>
          <w:sz w:val="22"/>
          <w:szCs w:val="22"/>
        </w:rPr>
      </w:pPr>
      <w:r w:rsidRPr="503DC450">
        <w:rPr>
          <w:rFonts w:ascii="Arial" w:hAnsi="Arial" w:cs="Arial"/>
          <w:sz w:val="22"/>
          <w:szCs w:val="22"/>
        </w:rPr>
        <w:t>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w:t>
      </w:r>
    </w:p>
    <w:p w:rsidRPr="503DC450" w:rsidP="007D20BC">
      <w:pPr>
        <w:jc w:val="both"/>
        <w:rPr>
          <w:rFonts w:ascii="Arial" w:hAnsi="Arial" w:cs="Arial"/>
          <w:sz w:val="22"/>
          <w:szCs w:val="22"/>
        </w:rPr>
      </w:pPr>
      <w:r w:rsidRPr="503DC450">
        <w:rPr>
          <w:rFonts w:ascii="Arial" w:hAnsi="Arial" w:cs="Arial"/>
          <w:sz w:val="22"/>
          <w:szCs w:val="22"/>
        </w:rPr>
        <w:t>Practice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rsidRPr="503DC450" w:rsidP="007D20BC">
      <w:pPr>
        <w:pStyle w:val="Heading3"/>
        <w:jc w:val="both"/>
        <w:outlineLvl w:val="2"/>
        <w:rPr>
          <w:rFonts w:ascii="Arial" w:hAnsi="Arial" w:cs="Arial"/>
          <w:sz w:val="22"/>
          <w:szCs w:val="22"/>
        </w:rPr>
      </w:pPr>
      <w:r w:rsidRPr="503DC450">
        <w:rPr>
          <w:rFonts w:ascii="Arial" w:hAnsi="Arial" w:cs="Arial"/>
          <w:b/>
          <w:bCs/>
          <w:sz w:val="22"/>
          <w:szCs w:val="22"/>
        </w:rPr>
        <w:t>Teaching and learning</w:t>
      </w:r>
    </w:p>
    <w:p w:rsidRPr="503DC450" w:rsidP="007D20BC">
      <w:pPr>
        <w:jc w:val="both"/>
        <w:rPr>
          <w:rFonts w:ascii="Arial" w:hAnsi="Arial" w:cs="Arial"/>
          <w:sz w:val="22"/>
          <w:szCs w:val="22"/>
        </w:rPr>
      </w:pPr>
      <w:r w:rsidRPr="503DC450">
        <w:rPr>
          <w:rFonts w:ascii="Arial" w:hAnsi="Arial" w:cs="Arial"/>
          <w:sz w:val="22"/>
          <w:szCs w:val="22"/>
        </w:rPr>
        <w:t>Teaching and learning are delivered through the integration of a variety of face-to-face activities and technology enhanced learning (TEL). Face-to-face teaching occurs in small and large groups and includes lectures, conferences, seminars, </w:t>
      </w:r>
      <w:r w:rsidRPr="503DC450">
        <w:rPr>
          <w:rFonts w:ascii="Arial" w:hAnsi="Arial" w:cs="Arial"/>
          <w:sz w:val="22"/>
          <w:szCs w:val="22"/>
        </w:rPr>
        <w:t>group work and problem-based learning. Technology enhanced learning includes online activities, supported by the University’s virtual learning environment (Canvas) and classroom-based technologies such as Menti and Padlet</w:t>
      </w:r>
      <w:r w:rsidRPr="503DC450">
        <w:rPr>
          <w:rFonts w:ascii="Arial" w:hAnsi="Arial" w:cs="Arial"/>
          <w:sz w:val="22"/>
          <w:szCs w:val="22"/>
        </w:rPr>
        <w:t> Learning in the classroom will be further enhanced through use of a ‘Virtual family’, a three-generation family with a range of interconnected physical, psychosocial and learning needs.</w:t>
      </w:r>
    </w:p>
    <w:p w:rsidRPr="503DC450" w:rsidP="007D20BC">
      <w:pPr>
        <w:jc w:val="both"/>
        <w:rPr>
          <w:rFonts w:ascii="Arial" w:hAnsi="Arial" w:cs="Arial"/>
          <w:sz w:val="22"/>
          <w:szCs w:val="22"/>
        </w:rPr>
      </w:pPr>
      <w:r w:rsidRPr="503DC450">
        <w:rPr>
          <w:rFonts w:ascii="Arial" w:hAnsi="Arial" w:cs="Arial"/>
          <w:sz w:val="22"/>
          <w:szCs w:val="22"/>
        </w:rPr>
        <w:t xml:space="preserve">Research informed teaching is delivered in a number of ways to ensure graduates achieve the appropriate skills and engage with evidence-based practice (EBP) and critical thinking. </w:t>
      </w:r>
      <w:r w:rsidRPr="503DC450">
        <w:rPr>
          <w:rFonts w:ascii="Arial" w:hAnsi="Arial" w:cs="Arial"/>
          <w:sz w:val="22"/>
          <w:szCs w:val="22"/>
        </w:rPr>
        <w:t>Newell and Burnard’s (2011)</w:t>
      </w:r>
      <w:r w:rsidRPr="503DC450">
        <w:rPr>
          <w:rFonts w:ascii="Arial" w:hAnsi="Arial" w:cs="Arial"/>
          <w:sz w:val="22"/>
          <w:szCs w:val="22"/>
        </w:rPr>
        <w:t> five stages of EBP are used as a framework to structure research informed teaching within the curriculum:</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asking answerable questions from practice (Year 1);</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finding the best available evidence (Year 1);</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appraising the evidence for validity and applicability (Year 2);</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applying the results of appraisal to clinical practice (Year 2);</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evaluating</w:t>
      </w:r>
      <w:r w:rsidRPr="503DC450">
        <w:rPr>
          <w:rFonts w:ascii="Arial" w:hAnsi="Arial" w:cs="Arial"/>
          <w:sz w:val="22"/>
          <w:szCs w:val="22"/>
        </w:rPr>
        <w:t xml:space="preserve"> the effect of applying the evidence (if student progresses to BSc Nursing: RN)</w:t>
      </w: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Faculty and course team.</w:t>
      </w:r>
    </w:p>
    <w:p w:rsidRPr="503DC450" w:rsidP="007D20BC">
      <w:pPr>
        <w:jc w:val="both"/>
        <w:rPr>
          <w:rFonts w:ascii="Arial" w:hAnsi="Arial" w:cs="Arial"/>
          <w:sz w:val="22"/>
          <w:szCs w:val="22"/>
        </w:rPr>
      </w:pPr>
      <w:r w:rsidRPr="503DC450">
        <w:rPr>
          <w:rFonts w:ascii="Arial" w:hAnsi="Arial" w:cs="Arial"/>
          <w:sz w:val="22"/>
          <w:szCs w:val="22"/>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have been designed to develop the skills needed by students to become thoughtful, objective and reasoned thinkers. This will help students to tackle assignments confidently, understand marking criteria, use evidence, take a reasoned approach, make structured arguments and engage with other points of view. </w:t>
      </w:r>
    </w:p>
    <w:p w:rsidRPr="503DC450" w:rsidP="007D20BC">
      <w:pPr>
        <w:jc w:val="both"/>
        <w:rPr>
          <w:rFonts w:ascii="Arial" w:hAnsi="Arial" w:cs="Arial"/>
          <w:sz w:val="22"/>
          <w:szCs w:val="22"/>
        </w:rPr>
      </w:pPr>
      <w:r w:rsidRPr="503DC450">
        <w:rPr>
          <w:rFonts w:ascii="Arial" w:hAnsi="Arial" w:cs="Arial"/>
          <w:sz w:val="22"/>
          <w:szCs w:val="22"/>
        </w:rPr>
        <w:t>Guided independent study activities are designated for each module and are identified on Canvas. This guide provides information for students in terms of the expectations for the activity, how the student will be guided and the time that should be spent on the activity. Information about the activity (e.g. time spent, type of learning activity) will be recorded within Section B of the Ongoing Assessment Record (OAR) to allow for monitoring of time spent on these activities and how they support the module learning outcomes.</w:t>
      </w:r>
    </w:p>
    <w:p w:rsidRPr="503DC450" w:rsidP="007D20BC">
      <w:pPr>
        <w:pStyle w:val="Heading3"/>
        <w:jc w:val="both"/>
        <w:outlineLvl w:val="2"/>
        <w:rPr>
          <w:rFonts w:ascii="Arial" w:hAnsi="Arial" w:cs="Arial"/>
          <w:sz w:val="22"/>
          <w:szCs w:val="22"/>
        </w:rPr>
      </w:pPr>
      <w:r w:rsidRPr="503DC450">
        <w:rPr>
          <w:rFonts w:ascii="Arial" w:hAnsi="Arial" w:cs="Arial"/>
          <w:b/>
          <w:bCs/>
          <w:sz w:val="22"/>
          <w:szCs w:val="22"/>
        </w:rPr>
        <w:t>Interprofessional</w:t>
      </w:r>
      <w:r w:rsidRPr="503DC450">
        <w:rPr>
          <w:rFonts w:ascii="Arial" w:hAnsi="Arial" w:cs="Arial"/>
          <w:b/>
          <w:bCs/>
          <w:sz w:val="22"/>
          <w:szCs w:val="22"/>
        </w:rPr>
        <w:t xml:space="preserve"> learning</w:t>
      </w:r>
    </w:p>
    <w:p w:rsidRPr="503DC450" w:rsidP="007D20BC">
      <w:pPr>
        <w:jc w:val="both"/>
        <w:rPr>
          <w:rFonts w:ascii="Arial" w:hAnsi="Arial" w:cs="Arial"/>
          <w:sz w:val="22"/>
          <w:szCs w:val="22"/>
        </w:rPr>
      </w:pPr>
      <w:r w:rsidRPr="503DC450">
        <w:rPr>
          <w:rFonts w:ascii="Arial" w:hAnsi="Arial" w:cs="Arial"/>
          <w:sz w:val="22"/>
          <w:szCs w:val="22"/>
        </w:rPr>
        <w:t xml:space="preserve">The concept of </w:t>
      </w:r>
      <w:r w:rsidRPr="503DC450">
        <w:rPr>
          <w:rFonts w:ascii="Arial" w:hAnsi="Arial" w:cs="Arial"/>
          <w:sz w:val="22"/>
          <w:szCs w:val="22"/>
        </w:rPr>
        <w:t>interprofessional</w:t>
      </w:r>
      <w:r w:rsidRPr="503DC450">
        <w:rPr>
          <w:rFonts w:ascii="Arial" w:hAnsi="Arial" w:cs="Arial"/>
          <w:sz w:val="22"/>
          <w:szCs w:val="22"/>
        </w:rPr>
        <w:t xml:space="preserve"> learning is introduced at the outset of the programme and is spiralled throughout. </w:t>
      </w:r>
      <w:r w:rsidRPr="503DC450">
        <w:rPr>
          <w:rFonts w:ascii="Arial" w:hAnsi="Arial" w:cs="Arial"/>
          <w:sz w:val="22"/>
          <w:szCs w:val="22"/>
        </w:rPr>
        <w:t xml:space="preserve">During the programme students benefit from a range of </w:t>
      </w:r>
      <w:r w:rsidRPr="503DC450">
        <w:rPr>
          <w:rFonts w:ascii="Arial" w:hAnsi="Arial" w:cs="Arial"/>
          <w:sz w:val="22"/>
          <w:szCs w:val="22"/>
        </w:rPr>
        <w:t>Interprofessional</w:t>
      </w:r>
      <w:r w:rsidRPr="503DC450">
        <w:rPr>
          <w:rFonts w:ascii="Arial" w:hAnsi="Arial" w:cs="Arial"/>
          <w:sz w:val="22"/>
          <w:szCs w:val="22"/>
        </w:rPr>
        <w:t xml:space="preserve"> Learning (IPL) opportunities, the primary opportunity for IPL being clinical placements where students learn from, and with, a variety of health and social care professionals. </w:t>
      </w:r>
    </w:p>
    <w:p w:rsidRPr="503DC450" w:rsidP="007D20BC">
      <w:pPr>
        <w:jc w:val="both"/>
        <w:rPr>
          <w:rFonts w:ascii="Arial" w:hAnsi="Arial" w:cs="Arial"/>
          <w:sz w:val="22"/>
          <w:szCs w:val="22"/>
        </w:rPr>
      </w:pPr>
      <w:r w:rsidRPr="503DC450">
        <w:rPr>
          <w:rFonts w:ascii="Arial" w:hAnsi="Arial" w:cs="Arial"/>
          <w:sz w:val="22"/>
          <w:szCs w:val="22"/>
        </w:rPr>
        <w:t xml:space="preserve">In Year 1 students will be introduced to members of the </w:t>
      </w:r>
      <w:r w:rsidRPr="503DC450">
        <w:rPr>
          <w:rFonts w:ascii="Arial" w:hAnsi="Arial" w:cs="Arial"/>
          <w:sz w:val="22"/>
          <w:szCs w:val="22"/>
        </w:rPr>
        <w:t>interprofessional</w:t>
      </w:r>
      <w:r w:rsidRPr="503DC450">
        <w:rPr>
          <w:rFonts w:ascii="Arial" w:hAnsi="Arial" w:cs="Arial"/>
          <w:sz w:val="22"/>
          <w:szCs w:val="22"/>
        </w:rPr>
        <w:t xml:space="preserve">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rsidRPr="503DC450" w:rsidP="007D20BC">
      <w:pPr>
        <w:jc w:val="both"/>
        <w:rPr>
          <w:rFonts w:ascii="Arial" w:hAnsi="Arial" w:cs="Arial"/>
          <w:sz w:val="22"/>
          <w:szCs w:val="22"/>
        </w:rPr>
      </w:pPr>
      <w:r w:rsidRPr="503DC450">
        <w:rPr>
          <w:rFonts w:ascii="Arial" w:hAnsi="Arial" w:cs="Arial"/>
          <w:sz w:val="22"/>
          <w:szCs w:val="22"/>
        </w:rPr>
        <w:t xml:space="preserve">The ‘Acutely unwell person’ and ‘Long-term conditions’ modules in Year 2 enable students to gain a deeper understanding of the role of the </w:t>
      </w:r>
      <w:r w:rsidRPr="503DC450">
        <w:rPr>
          <w:rFonts w:ascii="Arial" w:hAnsi="Arial" w:cs="Arial"/>
          <w:sz w:val="22"/>
          <w:szCs w:val="22"/>
        </w:rPr>
        <w:t>interprofessional</w:t>
      </w:r>
      <w:r w:rsidRPr="503DC450">
        <w:rPr>
          <w:rFonts w:ascii="Arial" w:hAnsi="Arial" w:cs="Arial"/>
          <w:sz w:val="22"/>
          <w:szCs w:val="22"/>
        </w:rPr>
        <w:t xml:space="preserve"> workforce, which allows them to develop working relationships with members of the </w:t>
      </w:r>
      <w:r w:rsidRPr="503DC450">
        <w:rPr>
          <w:rFonts w:ascii="Arial" w:hAnsi="Arial" w:cs="Arial"/>
          <w:sz w:val="22"/>
          <w:szCs w:val="22"/>
        </w:rPr>
        <w:t>interprofessional</w:t>
      </w:r>
      <w:r w:rsidRPr="503DC450">
        <w:rPr>
          <w:rFonts w:ascii="Arial" w:hAnsi="Arial" w:cs="Arial"/>
          <w:sz w:val="22"/>
          <w:szCs w:val="22"/>
        </w:rPr>
        <w:t xml:space="preserve"> team.</w:t>
      </w:r>
    </w:p>
    <w:p w:rsidRPr="503DC450" w:rsidP="007D20BC">
      <w:pPr>
        <w:jc w:val="both"/>
        <w:rPr>
          <w:rFonts w:ascii="Arial" w:hAnsi="Arial" w:cs="Arial"/>
          <w:sz w:val="22"/>
          <w:szCs w:val="22"/>
        </w:rPr>
      </w:pPr>
      <w:r w:rsidRPr="503DC450">
        <w:rPr>
          <w:rFonts w:ascii="Arial" w:hAnsi="Arial" w:cs="Arial"/>
          <w:sz w:val="22"/>
          <w:szCs w:val="22"/>
        </w:rPr>
        <w:t xml:space="preserve">Learning activities with different professional groups are also undertaken within the classroom and within the Clinical Skills and Simulation Suite. </w:t>
      </w:r>
    </w:p>
    <w:p w:rsidRPr="503DC450" w:rsidP="007D20BC">
      <w:pPr>
        <w:pStyle w:val="Heading3"/>
        <w:outlineLvl w:val="2"/>
        <w:rPr>
          <w:rFonts w:ascii="Arial" w:hAnsi="Arial" w:cs="Arial"/>
          <w:sz w:val="22"/>
          <w:szCs w:val="22"/>
        </w:rPr>
      </w:pPr>
      <w:r w:rsidRPr="503DC450">
        <w:rPr>
          <w:rFonts w:ascii="Arial" w:hAnsi="Arial" w:cs="Arial"/>
          <w:b/>
          <w:bCs/>
          <w:sz w:val="22"/>
          <w:szCs w:val="22"/>
        </w:rPr>
        <w:t>Placement learning</w:t>
      </w:r>
    </w:p>
    <w:p w:rsidRPr="503DC450" w:rsidP="007D20BC">
      <w:pPr>
        <w:rPr>
          <w:rFonts w:ascii="Arial" w:hAnsi="Arial" w:cs="Arial"/>
          <w:sz w:val="22"/>
          <w:szCs w:val="22"/>
        </w:rPr>
      </w:pPr>
      <w:r w:rsidRPr="503DC450">
        <w:rPr>
          <w:rFonts w:ascii="Arial" w:hAnsi="Arial" w:cs="Arial"/>
          <w:sz w:val="22"/>
          <w:szCs w:val="22"/>
        </w:rPr>
        <w:t>Practice learning is an integral part of the programme and students undertake practice learning placements in a range of settings. These are planned centrally by the Faculty’s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p w:rsidRPr="503DC450" w:rsidP="007D20BC">
      <w:pPr>
        <w:jc w:val="both"/>
        <w:rPr>
          <w:rFonts w:ascii="Arial" w:hAnsi="Arial" w:cs="Arial"/>
          <w:sz w:val="22"/>
          <w:szCs w:val="22"/>
        </w:rPr>
      </w:pPr>
      <w:r w:rsidRPr="503DC450">
        <w:rPr>
          <w:rFonts w:ascii="Arial" w:hAnsi="Arial" w:cs="Arial"/>
          <w:sz w:val="22"/>
          <w:szCs w:val="22"/>
        </w:rPr>
        <w:t xml:space="preserve">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 will be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rsidRPr="503DC450" w:rsidP="007D20BC">
      <w:pPr>
        <w:jc w:val="both"/>
        <w:rPr>
          <w:rFonts w:ascii="Arial" w:hAnsi="Arial" w:cs="Arial"/>
          <w:sz w:val="22"/>
          <w:szCs w:val="22"/>
        </w:rPr>
      </w:pPr>
      <w:r w:rsidRPr="503DC450">
        <w:rPr>
          <w:rFonts w:ascii="Arial" w:hAnsi="Arial" w:cs="Arial"/>
          <w:sz w:val="22"/>
          <w:szCs w:val="22"/>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used this information to inform module teaching and programme development and to ensure theory and practice remain well aligned. </w:t>
      </w:r>
    </w:p>
    <w:p w:rsidRPr="503DC450" w:rsidP="007D20BC">
      <w:pPr>
        <w:jc w:val="both"/>
        <w:rPr>
          <w:rFonts w:ascii="Arial" w:hAnsi="Arial" w:cs="Arial"/>
          <w:sz w:val="22"/>
          <w:szCs w:val="22"/>
        </w:rPr>
      </w:pPr>
      <w:r w:rsidRPr="503DC450">
        <w:rPr>
          <w:rFonts w:ascii="Arial" w:hAnsi="Arial" w:cs="Arial"/>
          <w:sz w:val="22"/>
          <w:szCs w:val="22"/>
        </w:rPr>
        <w:t>Placement learning is supported by simulated learning within the Faculty’s 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r w:rsidRPr="503DC450">
        <w:rPr>
          <w:rFonts w:ascii="Arial" w:hAnsi="Arial" w:cs="Arial"/>
          <w:sz w:val="22"/>
          <w:szCs w:val="22"/>
        </w:rPr>
        <w:t xml:space="preserve"> </w:t>
      </w:r>
    </w:p>
    <w:p w:rsidRPr="503DC450" w:rsidP="007D20BC">
      <w:pPr>
        <w:pStyle w:val="Heading3"/>
        <w:jc w:val="both"/>
        <w:outlineLvl w:val="2"/>
        <w:rPr>
          <w:rFonts w:ascii="Arial" w:hAnsi="Arial" w:cs="Arial"/>
          <w:sz w:val="22"/>
          <w:szCs w:val="22"/>
        </w:rPr>
      </w:pPr>
      <w:r w:rsidRPr="503DC450">
        <w:rPr>
          <w:rFonts w:ascii="Arial" w:hAnsi="Arial" w:cs="Arial"/>
          <w:b/>
          <w:bCs/>
          <w:sz w:val="22"/>
          <w:szCs w:val="22"/>
        </w:rPr>
        <w:t xml:space="preserve">Assessment strategy </w:t>
      </w:r>
    </w:p>
    <w:p w:rsidRPr="503DC450" w:rsidP="007D20BC">
      <w:pPr>
        <w:jc w:val="both"/>
        <w:rPr>
          <w:rFonts w:ascii="Arial" w:hAnsi="Arial" w:cs="Arial"/>
          <w:sz w:val="22"/>
          <w:szCs w:val="22"/>
        </w:rPr>
      </w:pPr>
      <w:r w:rsidRPr="503DC450">
        <w:rPr>
          <w:rFonts w:ascii="Arial" w:hAnsi="Arial" w:cs="Arial"/>
          <w:sz w:val="22"/>
          <w:szCs w:val="22"/>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rsidRPr="503DC450" w:rsidP="007D20BC">
      <w:pPr>
        <w:jc w:val="both"/>
        <w:rPr>
          <w:rFonts w:ascii="Arial" w:hAnsi="Arial" w:cs="Arial"/>
          <w:sz w:val="22"/>
          <w:szCs w:val="22"/>
        </w:rPr>
      </w:pPr>
      <w:r w:rsidRPr="503DC450">
        <w:rPr>
          <w:rFonts w:ascii="Arial" w:hAnsi="Arial" w:cs="Arial"/>
          <w:sz w:val="22"/>
          <w:szCs w:val="22"/>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2. </w:t>
      </w:r>
    </w:p>
    <w:p w:rsidRPr="503DC450" w:rsidP="007D20BC">
      <w:pPr>
        <w:jc w:val="both"/>
        <w:rPr>
          <w:rFonts w:ascii="Arial" w:hAnsi="Arial" w:cs="Arial"/>
          <w:sz w:val="22"/>
          <w:szCs w:val="22"/>
        </w:rPr>
      </w:pPr>
      <w:r w:rsidRPr="503DC450">
        <w:rPr>
          <w:rFonts w:ascii="Arial" w:hAnsi="Arial" w:cs="Arial"/>
          <w:sz w:val="22"/>
          <w:szCs w:val="22"/>
        </w:rPr>
        <w:t>Assessment of practice is achieved through successful completion of the practice assessment document and objective structured clinical assessments (OSCAs), in conjunction with successful sign-off in practice by a practice assessor and an part at the end of Years 1 and 2. Students require a pass in both theory and practice to achieve their final award. </w:t>
      </w:r>
    </w:p>
    <w:p w:rsidRPr="503DC450" w:rsidP="007D20BC">
      <w:pPr>
        <w:pStyle w:val="Heading3"/>
        <w:jc w:val="both"/>
        <w:outlineLvl w:val="2"/>
        <w:rPr>
          <w:rFonts w:ascii="Arial" w:hAnsi="Arial" w:cs="Arial"/>
          <w:sz w:val="22"/>
          <w:szCs w:val="22"/>
        </w:rPr>
      </w:pPr>
      <w:r w:rsidRPr="503DC450">
        <w:rPr>
          <w:rFonts w:ascii="Arial" w:hAnsi="Arial" w:cs="Arial"/>
          <w:b/>
          <w:bCs/>
          <w:sz w:val="22"/>
          <w:szCs w:val="22"/>
        </w:rPr>
        <w:t>Extra-curricular activities​​​​​​</w:t>
      </w:r>
    </w:p>
    <w:p w:rsidRPr="503DC450" w:rsidP="007D20BC">
      <w:pPr>
        <w:jc w:val="both"/>
        <w:rPr>
          <w:rFonts w:ascii="Arial" w:hAnsi="Arial" w:cs="Arial"/>
          <w:sz w:val="22"/>
          <w:szCs w:val="22"/>
        </w:rPr>
      </w:pPr>
      <w:r w:rsidRPr="503DC450">
        <w:rPr>
          <w:rFonts w:ascii="Arial" w:hAnsi="Arial" w:cs="Arial"/>
          <w:sz w:val="22"/>
          <w:szCs w:val="22"/>
        </w:rPr>
        <w:t xml:space="preserve">There are a wide range of extra-curricular activities which are available to students: </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the School of Nursing has an active </w:t>
      </w:r>
      <w:r w:rsidRPr="503DC450">
        <w:rPr>
          <w:rFonts w:ascii="Arial" w:hAnsi="Arial" w:cs="Arial"/>
          <w:sz w:val="22"/>
          <w:szCs w:val="22"/>
        </w:rPr>
        <w:t xml:space="preserve">Nursing Society, run by students, which organises student activities and which has facilitated a number of collaborations with staff; </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the</w:t>
      </w:r>
      <w:r w:rsidRPr="503DC450">
        <w:rPr>
          <w:rFonts w:ascii="Arial" w:hAnsi="Arial" w:cs="Arial"/>
          <w:sz w:val="22"/>
          <w:szCs w:val="22"/>
        </w:rPr>
        <w:t xml:space="preserve"> SNAP (Student Nurse Academic Partner) conference is a student-led conference for students, staff and clinical partners. Students develop their work with a member of academic staff for presentation and publication; </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SADRAS (Student Academic Development Research Associate Scheme) is a KU initiative which allows students to undertake a research project with an academic partner; </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 xml:space="preserve">the KU Ambassador role is a paid role in which students provide support for open days, welcome events and induction; </w:t>
      </w:r>
    </w:p>
    <w:p w:rsidRPr="503DC450" w:rsidP="007D20BC">
      <w:pPr>
        <w:numPr>
          <w:ilvl w:val="0"/>
          <w:numId w:val="15"/>
        </w:numPr>
        <w:ind w:left="720" w:right="0" w:hanging="360"/>
        <w:jc w:val="both"/>
        <w:rPr>
          <w:rFonts w:ascii="Arial" w:hAnsi="Arial" w:cs="Arial"/>
          <w:sz w:val="22"/>
          <w:szCs w:val="22"/>
        </w:rPr>
      </w:pPr>
      <w:r w:rsidRPr="503DC450">
        <w:rPr>
          <w:rFonts w:ascii="Arial" w:hAnsi="Arial" w:cs="Arial"/>
          <w:sz w:val="22"/>
          <w:szCs w:val="22"/>
        </w:rPr>
        <w:t>the</w:t>
      </w:r>
      <w:r w:rsidRPr="503DC450">
        <w:rPr>
          <w:rFonts w:ascii="Arial" w:hAnsi="Arial" w:cs="Arial"/>
          <w:sz w:val="22"/>
          <w:szCs w:val="22"/>
        </w:rPr>
        <w:t xml:space="preserve"> Kingston Award is a scheme that allows students to gain recognition for their extra-curricular work and can be used to enhance the student’s CV when applying for their first job. </w:t>
      </w:r>
    </w:p>
    <w:p w:rsidRPr="503DC450" w:rsidP="007D20BC">
      <w:pPr>
        <w:jc w:val="both"/>
        <w:rPr>
          <w:rFonts w:ascii="Arial" w:hAnsi="Arial" w:cs="Arial"/>
          <w:sz w:val="22"/>
          <w:szCs w:val="22"/>
        </w:rPr>
      </w:pPr>
      <w:r w:rsidRPr="503DC450">
        <w:rPr>
          <w:rFonts w:ascii="Arial" w:hAnsi="Arial" w:cs="Arial"/>
          <w:sz w:val="22"/>
          <w:szCs w:val="22"/>
        </w:rPr>
        <w:t xml:space="preserve">There are numerous other opportunities for paid and unpaid roles, volunteering, sports and societies. Students can also access activities at St. George’s Student Union. </w:t>
      </w:r>
      <w:r w:rsidRPr="503DC450">
        <w:rPr>
          <w:rFonts w:ascii="Arial" w:hAnsi="Arial" w:cs="Arial"/>
          <w:sz w:val="22"/>
          <w:szCs w:val="22"/>
        </w:rPr>
        <w:t xml:space="preserve">Student nominations for University and national awards (e.g. Nursing Times Awards) are encouraged.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and embedded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development and supporting students’ academic and professional growth. This approach tailors support to the academic level of study to ensure students develop their skills appropriately. Diagnostic work is set for all students at the start of the programme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programme team and University provide a comprehensive matrix of roles and centralised services which are freely available to students throughout their studies. These include: </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Specialist lecturer with a remit for academic support: students can self-refer or be referred by any member of academic staff for one-to-one tutoring to support writing/academic skills; English language development; learning difference needs (e.g.</w:t>
      </w:r>
      <w:r w:rsidRPr="503DC450">
        <w:rPr>
          <w:rFonts w:ascii="Arial" w:hAnsi="Arial" w:cs="Arial"/>
          <w:sz w:val="22"/>
          <w:szCs w:val="22"/>
        </w:rPr>
        <w:t xml:space="preserve">  </w:t>
      </w:r>
      <w:r w:rsidRPr="503DC450">
        <w:rPr>
          <w:rFonts w:ascii="Arial" w:hAnsi="Arial" w:cs="Arial"/>
          <w:sz w:val="22"/>
          <w:szCs w:val="22"/>
        </w:rPr>
        <w:t>dyslexia</w:t>
      </w:r>
      <w:r w:rsidRPr="503DC450">
        <w:rPr>
          <w:rFonts w:ascii="Arial" w:hAnsi="Arial" w:cs="Arial"/>
          <w:sz w:val="22"/>
          <w:szCs w:val="22"/>
        </w:rPr>
        <w:t>).</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‘Buddy’ system: first-year students are buddied with a second-year student who is able to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Academic Skills Centres: self-referral drop-in centres staffed by specialist academic support lecturers who provide small group and one to one support.</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Canvas: The University uses Canvas as its virtual learning environment which provides a versatile, interactive learning platform.</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IT support: Canvas has its own dedicated 24-hour support available to students. Additional IT support can be accessed via ‘My Kingston’.</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Access to world-class learning resource centres (LRC), online learning facilities and other learning</w:t>
      </w:r>
      <w:r w:rsidRPr="503DC450">
        <w:rPr>
          <w:rFonts w:ascii="Arial" w:hAnsi="Arial" w:cs="Arial"/>
          <w:sz w:val="22"/>
          <w:szCs w:val="22"/>
        </w:rPr>
        <w:t xml:space="preserve"> </w:t>
      </w:r>
      <w:r w:rsidRPr="503DC450">
        <w:rPr>
          <w:rFonts w:ascii="Arial" w:hAnsi="Arial" w:cs="Arial"/>
          <w:sz w:val="22"/>
          <w:szCs w:val="22"/>
        </w:rPr>
        <w:t>support. LRC support staff offer academic skills development both within the LRC and also integrated into module delivery.</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Qualified disability advisor who gives guidance on reasonable adjustments and support for the student and advises academic staff.</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Confidential counselling and pastoral support, including mental health support services.</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Comprehensive occupational health services.</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The University has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Student evaluation including M</w:t>
      </w:r>
      <w:r w:rsidRPr="503DC450">
        <w:rPr>
          <w:rFonts w:ascii="Arial" w:hAnsi="Arial" w:cs="Arial"/>
          <w:sz w:val="22"/>
          <w:szCs w:val="22"/>
        </w:rPr>
        <w:t>odule Evaluation Questionnaire (M</w:t>
      </w:r>
      <w:r w:rsidRPr="503DC450">
        <w:rPr>
          <w:rFonts w:ascii="Arial" w:hAnsi="Arial" w:cs="Arial"/>
          <w:sz w:val="22"/>
          <w:szCs w:val="22"/>
        </w:rPr>
        <w:t>EQs</w:t>
      </w:r>
      <w:r w:rsidRPr="503DC450">
        <w:rPr>
          <w:rFonts w:ascii="Arial" w:hAnsi="Arial" w:cs="Arial"/>
          <w:sz w:val="22"/>
          <w:szCs w:val="22"/>
        </w:rPr>
        <w:t>)</w:t>
      </w:r>
      <w:r w:rsidRPr="503DC450">
        <w:rPr>
          <w:rFonts w:ascii="Arial" w:hAnsi="Arial" w:cs="Arial"/>
          <w:sz w:val="22"/>
          <w:szCs w:val="22"/>
        </w:rPr>
        <w:t>, level surveys and the N</w:t>
      </w:r>
      <w:r w:rsidRPr="503DC450">
        <w:rPr>
          <w:rFonts w:ascii="Arial" w:hAnsi="Arial" w:cs="Arial"/>
          <w:sz w:val="22"/>
          <w:szCs w:val="22"/>
        </w:rPr>
        <w:t>ational Student Survey (NSS)</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Staff Student Consultative Committee</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Faculty forum</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NMC/QAA Major Review of Nursing and Midwifery approved programmes</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Health Education South London Quality Contract Performance Monitoring</w:t>
      </w:r>
    </w:p>
    <w:p w:rsidRPr="503DC450" w:rsidP="00A92C9B">
      <w:pPr>
        <w:numPr>
          <w:ilvl w:val="0"/>
          <w:numId w:val="17"/>
        </w:numPr>
        <w:ind w:left="720" w:right="0" w:hanging="360"/>
        <w:jc w:val="left"/>
        <w:rPr>
          <w:rFonts w:ascii="Arial" w:hAnsi="Arial" w:cs="Arial"/>
          <w:sz w:val="22"/>
          <w:szCs w:val="22"/>
        </w:rPr>
      </w:pPr>
      <w:r w:rsidRPr="503DC450">
        <w:rPr>
          <w:rFonts w:ascii="Arial" w:hAnsi="Arial" w:cs="Arial"/>
          <w:sz w:val="22"/>
          <w:szCs w:val="22"/>
        </w:rPr>
        <w:t>Consultation with employers, practice partners and service users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As a vocational programme which results in both academic and professional qualifications, the</w:t>
      </w:r>
      <w:r w:rsidRPr="503DC450">
        <w:rPr>
          <w:rFonts w:ascii="Arial" w:hAnsi="Arial" w:cs="Arial"/>
          <w:sz w:val="22"/>
          <w:szCs w:val="22"/>
        </w:rPr>
        <w:t xml:space="preserve"> course is highly orient</w:t>
      </w:r>
      <w:r w:rsidRPr="503DC450">
        <w:rPr>
          <w:rFonts w:ascii="Arial" w:hAnsi="Arial" w:cs="Arial"/>
          <w:sz w:val="22"/>
          <w:szCs w:val="22"/>
        </w:rPr>
        <w:t>at</w:t>
      </w:r>
      <w:r w:rsidRPr="503DC450">
        <w:rPr>
          <w:rFonts w:ascii="Arial" w:hAnsi="Arial" w:cs="Arial"/>
          <w:sz w:val="22"/>
          <w:szCs w:val="22"/>
        </w:rPr>
        <w:t xml:space="preserve">ed towards employment. </w:t>
      </w:r>
      <w:r w:rsidRPr="503DC450">
        <w:rPr>
          <w:rFonts w:ascii="Arial" w:hAnsi="Arial" w:cs="Arial"/>
          <w:sz w:val="22"/>
          <w:szCs w:val="22"/>
        </w:rPr>
        <w:t>E</w:t>
      </w:r>
      <w:r w:rsidRPr="503DC450">
        <w:rPr>
          <w:rFonts w:ascii="Arial" w:hAnsi="Arial" w:cs="Arial"/>
          <w:sz w:val="22"/>
          <w:szCs w:val="22"/>
        </w:rPr>
        <w:t>mployability is embedded in all of the skills sessions</w:t>
      </w:r>
      <w:r w:rsidRPr="503DC450">
        <w:rPr>
          <w:rFonts w:ascii="Arial" w:hAnsi="Arial" w:cs="Arial"/>
          <w:sz w:val="22"/>
          <w:szCs w:val="22"/>
        </w:rPr>
        <w:t xml:space="preserve"> and a significant number of skills and competencies are assessed in the workplace. In addition, aspects</w:t>
      </w:r>
      <w:r w:rsidRPr="503DC450">
        <w:rPr>
          <w:rFonts w:ascii="Arial" w:hAnsi="Arial" w:cs="Arial"/>
          <w:sz w:val="22"/>
          <w:szCs w:val="22"/>
        </w:rPr>
        <w:t xml:space="preserve"> of the </w:t>
      </w:r>
      <w:r w:rsidRPr="503DC450">
        <w:rPr>
          <w:rFonts w:ascii="Arial" w:hAnsi="Arial" w:cs="Arial"/>
          <w:sz w:val="22"/>
          <w:szCs w:val="22"/>
        </w:rPr>
        <w:t>second (</w:t>
      </w:r>
      <w:r w:rsidRPr="503DC450">
        <w:rPr>
          <w:rFonts w:ascii="Arial" w:hAnsi="Arial" w:cs="Arial"/>
          <w:sz w:val="22"/>
          <w:szCs w:val="22"/>
        </w:rPr>
        <w:t>final</w:t>
      </w:r>
      <w:r w:rsidRPr="503DC450">
        <w:rPr>
          <w:rFonts w:ascii="Arial" w:hAnsi="Arial" w:cs="Arial"/>
          <w:sz w:val="22"/>
          <w:szCs w:val="22"/>
        </w:rPr>
        <w:t>)</w:t>
      </w:r>
      <w:r w:rsidRPr="503DC450">
        <w:rPr>
          <w:rFonts w:ascii="Arial" w:hAnsi="Arial" w:cs="Arial"/>
          <w:sz w:val="22"/>
          <w:szCs w:val="22"/>
        </w:rPr>
        <w:t xml:space="preserve"> year </w:t>
      </w:r>
      <w:r w:rsidRPr="503DC450">
        <w:rPr>
          <w:rFonts w:ascii="Arial" w:hAnsi="Arial" w:cs="Arial"/>
          <w:sz w:val="22"/>
          <w:szCs w:val="22"/>
        </w:rPr>
        <w:t xml:space="preserve">taught content provide </w:t>
      </w:r>
      <w:r w:rsidRPr="503DC450">
        <w:rPr>
          <w:rFonts w:ascii="Arial" w:hAnsi="Arial" w:cs="Arial"/>
          <w:sz w:val="22"/>
          <w:szCs w:val="22"/>
        </w:rPr>
        <w:t>direct preparation for employability.</w:t>
      </w:r>
      <w:r w:rsidRPr="503DC450">
        <w:rPr>
          <w:rFonts w:ascii="Arial" w:hAnsi="Arial" w:cs="Arial"/>
          <w:sz w:val="22"/>
          <w:szCs w:val="22"/>
        </w:rPr>
        <w:t xml:space="preserve"> </w:t>
      </w:r>
      <w:r w:rsidRPr="503DC450">
        <w:rPr>
          <w:rFonts w:ascii="Arial" w:hAnsi="Arial" w:cs="Arial"/>
          <w:sz w:val="22"/>
          <w:szCs w:val="22"/>
        </w:rPr>
        <w:t>Careers advice is made available to students throughout the programme by KU Careers &amp; Employability Service -</w:t>
      </w:r>
      <w:r w:rsidRPr="503DC450">
        <w:rPr>
          <w:rFonts w:ascii="Arial" w:hAnsi="Arial" w:cs="Arial"/>
          <w:sz w:val="22"/>
          <w:szCs w:val="22"/>
        </w:rPr>
        <w:t xml:space="preserve"> </w:t>
      </w:r>
      <w:r w:rsidRPr="503DC450">
        <w:rPr>
          <w:rFonts w:ascii="Arial" w:hAnsi="Arial" w:cs="Arial"/>
          <w:sz w:val="22"/>
          <w:szCs w:val="22"/>
        </w:rPr>
        <w:t xml:space="preserve">KU Talent. There are also opportunities </w:t>
      </w:r>
      <w:r w:rsidRPr="503DC450">
        <w:rPr>
          <w:rFonts w:ascii="Arial" w:hAnsi="Arial" w:cs="Arial"/>
          <w:sz w:val="22"/>
          <w:szCs w:val="22"/>
        </w:rPr>
        <w:t xml:space="preserve">both within placement learning and university-based learning </w:t>
      </w:r>
      <w:r w:rsidRPr="503DC450">
        <w:rPr>
          <w:rFonts w:ascii="Arial" w:hAnsi="Arial" w:cs="Arial"/>
          <w:sz w:val="22"/>
          <w:szCs w:val="22"/>
        </w:rPr>
        <w:t>to meet with past students and local employers.</w:t>
      </w:r>
      <w:r w:rsidRPr="503DC450">
        <w:rPr>
          <w:rFonts w:ascii="Arial" w:hAnsi="Arial" w:cs="Arial"/>
          <w:sz w:val="22"/>
          <w:szCs w:val="22"/>
        </w:rPr>
        <w:t xml:space="preserve"> </w:t>
      </w:r>
    </w:p>
    <w:p w:rsidRPr="503DC450" w:rsidP="001A372B">
      <w:pPr>
        <w:pStyle w:val="NormalWeb"/>
        <w:jc w:val="both"/>
        <w:rPr>
          <w:rFonts w:ascii="Arial" w:hAnsi="Arial" w:cs="Arial"/>
          <w:sz w:val="22"/>
          <w:szCs w:val="22"/>
        </w:rPr>
      </w:pPr>
      <w:r w:rsidRPr="503DC450">
        <w:rPr>
          <w:rFonts w:ascii="Arial" w:hAnsi="Arial" w:cs="Arial"/>
          <w:sz w:val="22"/>
          <w:szCs w:val="22"/>
        </w:rPr>
        <w:t xml:space="preserve">Once registered with the NMC, graduates will be able to apply for Band 4 nursing associate posts. </w:t>
      </w:r>
      <w:r w:rsidRPr="503DC450">
        <w:rPr>
          <w:rFonts w:ascii="Arial" w:hAnsi="Arial" w:cs="Arial"/>
          <w:sz w:val="22"/>
          <w:szCs w:val="22"/>
        </w:rPr>
        <w:t>The starting salary of graduates after completing the course is</w:t>
      </w:r>
      <w:r w:rsidRPr="503DC450">
        <w:rPr>
          <w:rFonts w:ascii="Arial" w:hAnsi="Arial" w:cs="Arial"/>
          <w:sz w:val="22"/>
          <w:szCs w:val="22"/>
        </w:rPr>
        <w:t xml:space="preserve"> currently</w:t>
      </w:r>
      <w:r w:rsidRPr="503DC450">
        <w:rPr>
          <w:rFonts w:ascii="Arial" w:hAnsi="Arial" w:cs="Arial"/>
          <w:sz w:val="22"/>
          <w:szCs w:val="22"/>
        </w:rPr>
        <w:t xml:space="preserve"> £21,150</w:t>
      </w:r>
      <w:r w:rsidRPr="503DC450">
        <w:rPr>
          <w:rFonts w:ascii="Arial" w:hAnsi="Arial" w:cs="Arial"/>
          <w:sz w:val="22"/>
          <w:szCs w:val="22"/>
        </w:rPr>
        <w:t xml:space="preserve"> (NHS Band 4). Posts in the London area attract additional London weighting. </w:t>
      </w:r>
    </w:p>
    <w:p w:rsidRPr="503DC450" w:rsidP="001A372B">
      <w:pPr>
        <w:pStyle w:val="NormalWeb"/>
        <w:jc w:val="both"/>
        <w:rPr>
          <w:rFonts w:ascii="Arial" w:hAnsi="Arial" w:cs="Arial"/>
          <w:sz w:val="22"/>
          <w:szCs w:val="22"/>
        </w:rPr>
      </w:pPr>
      <w:r w:rsidRPr="503DC450">
        <w:rPr>
          <w:rFonts w:ascii="Arial" w:hAnsi="Arial" w:cs="Arial"/>
          <w:sz w:val="22"/>
          <w:szCs w:val="22"/>
        </w:rPr>
        <w:t>Career progression can be achieved through experience and post-qualifying education. Nursing associates can also use their qualification to gain entry to a BSc Registered Nurse degree programme with advanced standing, normally reducing the length of study to 18 months.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i/>
          <w:iCs/>
          <w:sz w:val="22"/>
          <w:szCs w:val="22"/>
        </w:rPr>
        <w:t> </w:t>
      </w:r>
      <w:r w:rsidRPr="503DC450">
        <w:rPr>
          <w:rFonts w:ascii="Arial" w:hAnsi="Arial" w:cs="Arial"/>
          <w:sz w:val="22"/>
          <w:szCs w:val="22"/>
        </w:rPr>
        <w:t>Nursing Associate Foundation Degree Higher Apprenticeship Standard ST0508</w:t>
      </w:r>
    </w:p>
    <w:p w:rsidRPr="503DC450" w:rsidP="00A92C9B">
      <w:pPr>
        <w:rPr>
          <w:rFonts w:ascii="Arial" w:hAnsi="Arial" w:cs="Arial"/>
          <w:sz w:val="22"/>
          <w:szCs w:val="22"/>
        </w:rPr>
      </w:pPr>
      <w:r w:rsidRPr="503DC450">
        <w:rPr>
          <w:rFonts w:ascii="Arial" w:hAnsi="Arial" w:cs="Arial"/>
          <w:sz w:val="22"/>
          <w:szCs w:val="22"/>
        </w:rPr>
        <w:t>Available online at:</w:t>
      </w:r>
    </w:p>
    <w:p w:rsidRPr="503DC450" w:rsidP="00A92C9B">
      <w:pPr>
        <w:rPr>
          <w:rFonts w:ascii="Arial" w:hAnsi="Arial" w:cs="Arial"/>
          <w:sz w:val="22"/>
          <w:szCs w:val="22"/>
        </w:rPr>
      </w:pPr>
      <w:hyperlink r:id="rId11" w:history="1">
        <w:r w:rsidRPr="503DC450">
          <w:rPr>
            <w:rFonts w:ascii="Arial" w:hAnsi="Arial" w:cs="Arial"/>
            <w:sz w:val="22"/>
            <w:szCs w:val="22"/>
            <w:u w:val="single"/>
          </w:rPr>
          <w:t>https://www.instituteforapprenticeships.org/apprenticeship-standards/nursing-associate/</w:t>
        </w:r>
      </w:hyperlink>
    </w:p>
    <w:p w:rsidRPr="503DC450" w:rsidP="00A92C9B">
      <w:pPr>
        <w:rPr>
          <w:rFonts w:ascii="Arial" w:hAnsi="Arial" w:cs="Arial"/>
          <w:sz w:val="22"/>
          <w:szCs w:val="22"/>
        </w:rPr>
      </w:pPr>
      <w:r w:rsidRPr="503DC450">
        <w:rPr>
          <w:rFonts w:ascii="Arial" w:hAnsi="Arial" w:cs="Arial"/>
          <w:sz w:val="22"/>
          <w:szCs w:val="22"/>
        </w:rPr>
        <w:t xml:space="preserve">Nursing and Midwifery Council (2018a) </w:t>
      </w:r>
      <w:r w:rsidRPr="503DC450">
        <w:rPr>
          <w:rFonts w:ascii="Arial" w:hAnsi="Arial" w:cs="Arial"/>
          <w:i/>
          <w:iCs/>
          <w:sz w:val="22"/>
          <w:szCs w:val="22"/>
        </w:rPr>
        <w:t>Standards for pre-registration Nursing Associate programmes</w:t>
      </w:r>
      <w:r w:rsidRPr="503DC450">
        <w:rPr>
          <w:rFonts w:ascii="Arial" w:hAnsi="Arial" w:cs="Arial"/>
          <w:sz w:val="22"/>
          <w:szCs w:val="22"/>
        </w:rPr>
        <w:t>. Available online at: </w:t>
      </w:r>
    </w:p>
    <w:p w:rsidRPr="503DC450" w:rsidP="00A92C9B">
      <w:pPr>
        <w:rPr>
          <w:rFonts w:ascii="Arial" w:hAnsi="Arial" w:cs="Arial"/>
          <w:sz w:val="22"/>
          <w:szCs w:val="22"/>
        </w:rPr>
      </w:pPr>
      <w:hyperlink r:id="rId12" w:history="1">
        <w:r w:rsidRPr="503DC450">
          <w:rPr>
            <w:rFonts w:ascii="Arial" w:hAnsi="Arial" w:cs="Arial"/>
            <w:sz w:val="22"/>
            <w:szCs w:val="22"/>
            <w:u w:val="single"/>
          </w:rPr>
          <w:t>https://www.nmc.org.uk/globalassets/sitedocuments/education-standards/nursing-associates-programme-standards.pdf</w:t>
        </w:r>
      </w:hyperlink>
    </w:p>
    <w:p w:rsidRPr="503DC450" w:rsidP="00A92C9B">
      <w:pPr>
        <w:rPr>
          <w:rFonts w:ascii="Arial" w:hAnsi="Arial" w:cs="Arial"/>
          <w:sz w:val="22"/>
          <w:szCs w:val="22"/>
        </w:rPr>
      </w:pPr>
      <w:r w:rsidRPr="503DC450">
        <w:rPr>
          <w:rFonts w:ascii="Arial" w:hAnsi="Arial" w:cs="Arial"/>
          <w:sz w:val="22"/>
          <w:szCs w:val="22"/>
        </w:rPr>
        <w:t xml:space="preserve">Nursing and Midwifery Council (2018b) </w:t>
      </w:r>
      <w:r w:rsidRPr="503DC450">
        <w:rPr>
          <w:rFonts w:ascii="Arial" w:hAnsi="Arial" w:cs="Arial"/>
          <w:i/>
          <w:iCs/>
          <w:sz w:val="22"/>
          <w:szCs w:val="22"/>
        </w:rPr>
        <w:t>Standards of Proficiency for Nursing Associates</w:t>
      </w:r>
      <w:r w:rsidRPr="503DC450">
        <w:rPr>
          <w:rFonts w:ascii="Arial" w:hAnsi="Arial" w:cs="Arial"/>
          <w:sz w:val="22"/>
          <w:szCs w:val="22"/>
        </w:rPr>
        <w:t>.</w:t>
      </w:r>
    </w:p>
    <w:p w:rsidRPr="503DC450" w:rsidP="00A92C9B">
      <w:pPr>
        <w:rPr>
          <w:rFonts w:ascii="Arial" w:hAnsi="Arial" w:cs="Arial"/>
          <w:sz w:val="22"/>
          <w:szCs w:val="22"/>
        </w:rPr>
      </w:pPr>
      <w:r w:rsidRPr="503DC450">
        <w:rPr>
          <w:rFonts w:ascii="Arial" w:hAnsi="Arial" w:cs="Arial"/>
          <w:sz w:val="22"/>
          <w:szCs w:val="22"/>
        </w:rPr>
        <w:t>Available online at:</w:t>
      </w:r>
    </w:p>
    <w:p w:rsidRPr="503DC450" w:rsidP="00A92C9B">
      <w:pPr>
        <w:rPr>
          <w:rFonts w:ascii="Arial" w:hAnsi="Arial" w:cs="Arial"/>
          <w:sz w:val="22"/>
          <w:szCs w:val="22"/>
        </w:rPr>
      </w:pPr>
      <w:hyperlink r:id="rId13" w:history="1">
        <w:r w:rsidRPr="503DC450">
          <w:rPr>
            <w:rFonts w:ascii="Arial" w:hAnsi="Arial" w:cs="Arial"/>
            <w:sz w:val="22"/>
            <w:szCs w:val="22"/>
            <w:u w:val="single"/>
          </w:rPr>
          <w:t>https://www.nmc.org.uk/globalassets/sitedocuments/education-standards/nursing-associates-proficiency-standards.pdf</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195"/>
        <w:gridCol w:w="316"/>
        <w:gridCol w:w="794"/>
        <w:gridCol w:w="794"/>
        <w:gridCol w:w="794"/>
        <w:gridCol w:w="794"/>
        <w:gridCol w:w="794"/>
        <w:gridCol w:w="794"/>
        <w:gridCol w:w="794"/>
        <w:gridCol w:w="7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NU4003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NU4005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NU4002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NU4006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NU5006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NU5003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NU5004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NU5002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NormalWeb">
    <w:name w:val="NormalWeb"/>
    <w:basedOn w:val="Normal"/>
  </w:style>
  <w:style w:type="character" w:styleId="Strong">
    <w:name w:val="Strong"/>
    <w:basedOn w:val="DefaultParagraphFont"/>
    <w:uiPriority w:val="22"/>
    <w:qFormat/>
    <w:rsid w:val="00506D7A"/>
    <w:rPr>
      <w:b/>
      <w:bCs/>
    </w:rPr>
  </w:style>
  <w:style w:type="paragraph" w:customStyle="1" w:styleId="p">
    <w:name w:val="p"/>
    <w:basedOn w:val="Normal"/>
  </w:style>
  <w:style w:type="paragraph" w:customStyle="1" w:styleId="ListParagraph0">
    <w:name w:val="ListParagraph"/>
    <w:basedOn w:val="Normal"/>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c.org.uk/globalassets/sitedocuments/education-standards/nursing-associates-proficiency-standards.pdf"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nmc.org.uk/globalassets/sitedocuments/education-standards/nursing-associates-programme-standards.pdf"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instituteforapprenticeships.org/apprenticeship-standards/nursing-associate/"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DBA7B06-2BAD-4EFB-9700-8DB09B24C1C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