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09/03/2026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in Health and Wellbeing BSc Health and Wellbeing These awards do not enable the student to register with the NMC.</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UFNCH1NCH20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B732 BSc/Children's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typical requirement for entry for this course is 112 UCAS points, Health and Science subjects preferred e.g.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Levels BBC (General Studies not accepted)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Extended Diploma Distinction, Merit, Merit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to HE course to value of 112 UCAS points normally achieved with 21 Distinctions and 18 Merits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Foundation degree in related programmes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Baccalaureate 27 points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FETAC Level 5 Distinction in all modules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Additional requirements: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at grade 4 or above (or grade C or above for GCSEs taken before 2017) in English Language and Mathematics (sciences is recommended) or equivalent qualification e.g. Functional/Key skills level 2 in numeracy and literacy; Level 2 Applied Science.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 Science grade 4 or above (formerly A*-C) is not required from Access students undertaking a science or health based access course.</w:t>
                  </w:r>
                </w:p>
                <w:p w:rsidRPr="2030048C" w:rsidP="2030048C">
                  <w:pPr>
                    <w:ind w:left="3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Recognition of Prior Learning (RPL) will be considered including applicants with a relevant Foundation Degree (e.g. Nursing Associate, Healthcare Practice) for up to a maximum of 50% of the programme. More than 50% can be RPL'd if an applicant is currently registered with the NMC as a registered nurse. Applicants wishing to apply for RPL should contact the admissions team.</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(e.g. Functional Skills Level 2 Literacy) require an IELTS score of 7.0 overall with 6.5 in writing and 7.0 in all other elements.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children’s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 a variant request will be submitted for the new programme in line with the existing variant</w:t>
            </w:r>
          </w:p>
          <w:p w:rsidR="5D711985" w:rsidRPr="158602C4" w:rsidP="158602C4">
            <w:pPr>
              <w:numPr>
                <w:ilvl w:val="0"/>
                <w:numId w:val="16"/>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retain zero credit modules.</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have a single element of assessment for 30-credit module</w:t>
                  </w:r>
                </w:p>
              </w:tc>
            </w:tr>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for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Children’s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and critically appraise secondary and primary sources as a basis for independent study, evidence-based practice and implementation and improvement science.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2"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3"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4"/>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in children and young people’s nursing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evidence based interventions; evaluating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children and young people’s nursing inventions used in promoting the health and well-being of people,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 on clinical experience to make evidence informed decisions across all areas of their practice as a children’s nurse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quality improvement strategies to bring about continuous improvement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children's nursing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children and young people’s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children's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children and young people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reflective, adaptable, compassionate, skilled and confident children’s registrant, with the ability to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2300 hours of theory learning and 2300 hours of practice learning. Practice learning comprises simulated practice learning and placements.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5"/>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on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6"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i/>
          <w:i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children and young people's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NC4200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90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course at this point who have successfully completed 120 credits at level 4 or above are eligible for the award of Certificate of Higher Education in Health and Wellbeing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Children’s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2"/>
          <w:szCs w:val="22"/>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2"/>
          <w:szCs w:val="22"/>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120 credits at level 5 or above are eligible for the award of Diploma of Higher Education in Health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 and young people’s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all modules.</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a minimum of 60 credits at level 6 are eligible for the award of an Ordinary Bachelor degree in Health and Wellbeing but will not be eligible to register with the Nursing and Midwifery Council. A student who is awarded an Ordinary degree having followed an honours programme:</w:t>
      </w:r>
    </w:p>
    <w:p w:rsidR="6DF80A31" w:rsidRPr="2030048C" w:rsidP="2030048C">
      <w:pPr>
        <w:numPr>
          <w:ilvl w:val="0"/>
          <w:numId w:val="20"/>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for the award of the degree with distinction</w:t>
      </w:r>
    </w:p>
    <w:p w:rsidR="6DF80A31" w:rsidRPr="2030048C" w:rsidP="2030048C">
      <w:pPr>
        <w:numPr>
          <w:ilvl w:val="0"/>
          <w:numId w:val="20"/>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to register subsequently and be assessed for an honours degree</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 BSc </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Hons</w:t>
      </w:r>
      <w:r w:rsidRPr="2030048C">
        <w:rPr>
          <w:rStyle w:val="normaltextrun"/>
          <w:rFonts w:ascii="Arial" w:eastAsia="Arial" w:hAnsi="Arial" w:cs="Arial"/>
          <w:color w:val="008080"/>
          <w:sz w:val="22"/>
          <w:szCs w:val="22"/>
          <w:u w:val="single" w:color="000000"/>
        </w:rPr>
        <w:t>)</w:t>
      </w:r>
      <w:r w:rsidRPr="2030048C">
        <w:rPr>
          <w:rStyle w:val="normaltextrun"/>
          <w:rFonts w:ascii="Arial" w:eastAsia="Arial" w:hAnsi="Arial" w:cs="Arial"/>
          <w:color w:val="000000"/>
          <w:sz w:val="22"/>
          <w:szCs w:val="22"/>
        </w:rPr>
        <w:t xml:space="preserve"> Children’s Nursing AND be eligible to register with the Nursing and Midwifery Council (NMC) students must have completed and passed all modules (120 credits at levels 4, 5 and 6)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7"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4"/>
              </w:numPr>
              <w:ind w:left="720" w:hanging="360"/>
              <w:jc w:val="left"/>
              <w:rPr>
                <w:rFonts w:ascii="Arial" w:eastAsia="Arial" w:hAnsi="Arial" w:cs="Arial"/>
                <w:sz w:val="24"/>
                <w:szCs w:val="24"/>
              </w:rPr>
            </w:pP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5"/>
              </w:numPr>
              <w:ind w:left="720" w:hanging="360"/>
              <w:jc w:val="left"/>
              <w:rPr>
                <w:rFonts w:ascii="Arial" w:eastAsia="Arial" w:hAnsi="Arial" w:cs="Arial"/>
                <w:sz w:val="24"/>
                <w:szCs w:val="24"/>
              </w:rPr>
            </w:pP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5"/>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6"/>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9"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20" w:history="1">
              <w:r w:rsidRPr="2030048C">
                <w:rPr>
                  <w:rFonts w:ascii="Arial" w:eastAsia="Arial" w:hAnsi="Arial" w:cs="Arial"/>
                  <w:sz w:val="22"/>
                  <w:szCs w:val="22"/>
                </w:rPr>
                <w:t>https://www.e-lfh.org.uk/</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1" w:history="1">
              <w:r w:rsidRPr="2030048C">
                <w:rPr>
                  <w:rFonts w:ascii="Arial" w:eastAsia="Arial" w:hAnsi="Arial" w:cs="Arial"/>
                  <w:sz w:val="22"/>
                  <w:szCs w:val="22"/>
                </w:rPr>
                <w:t>https://hstalks.com/biosci/</w:t>
              </w:r>
            </w:hyperlink>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2"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8"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 Practice assessment is undertaken using the </w:t>
      </w:r>
      <w:hyperlink r:id="rId23"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4"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5"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7334250" cy="412432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6"/>
                    <a:stretch>
                      <a:fillRect/>
                    </a:stretch>
                  </pic:blipFill>
                  <pic:spPr>
                    <a:xfrm>
                      <a:off x="0" y="0"/>
                      <a:ext cx="7334250" cy="4124325"/>
                    </a:xfrm>
                    <a:prstGeom prst="rect">
                      <a:avLst/>
                    </a:prstGeom>
                  </pic:spPr>
                </pic:pic>
              </a:graphicData>
            </a:graphic>
          </wp:inline>
        </w:drawing>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5"/>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9"/>
        <w:gridCol w:w="551"/>
        <w:gridCol w:w="551"/>
        <w:gridCol w:w="550"/>
        <w:gridCol w:w="1"/>
        <w:gridCol w:w="551"/>
        <w:gridCol w:w="551"/>
        <w:gridCol w:w="551"/>
        <w:gridCol w:w="559"/>
        <w:gridCol w:w="557"/>
        <w:gridCol w:w="2"/>
        <w:gridCol w:w="559"/>
        <w:gridCol w:w="559"/>
        <w:gridCol w:w="551"/>
        <w:gridCol w:w="55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multilevel"/>
    <w:tmpl w:val="74989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media/53821cbf-5779-4380-bf2a-aa8f5c53ecd4/sector-recognised-standards.pdf%22" TargetMode="External"/><Relationship Id="rId18" Type="http://schemas.openxmlformats.org/officeDocument/2006/relationships/hyperlink" Target="https://www.hee.nhs.uk/our-work/technology-enhanced-learning" TargetMode="External"/><Relationship Id="rId26" Type="http://schemas.openxmlformats.org/officeDocument/2006/relationships/image" Target="media/image3.png"/><Relationship Id="rId8" Type="http://schemas.openxmlformats.org/officeDocument/2006/relationships/image" Target="media/image1.png"/><Relationship Id="rId21" Type="http://schemas.openxmlformats.org/officeDocument/2006/relationships/hyperlink" Target="https://hstalks.com/biosci/" TargetMode="External"/><Relationship Id="rId3" Type="http://schemas.openxmlformats.org/officeDocument/2006/relationships/fontTable" Target="fontTable.xml"/><Relationship Id="rId12" Type="http://schemas.openxmlformats.org/officeDocument/2006/relationships/hyperlink" Target="https://www.kingston.ac.uk/aboutkingstonuniversity/future-skills/"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hyperlink" Target="file:///C:/Users/KU57258/AppData/Local/Microsoft/Windows/INetCache/Content.Outlook/AUYG671E/HEE%202020" TargetMode="External"/><Relationship Id="rId7" Type="http://schemas.openxmlformats.org/officeDocument/2006/relationships/customXml" Target="../customXml/item4.xml"/><Relationship Id="rId16" Type="http://schemas.openxmlformats.org/officeDocument/2006/relationships/hyperlink" Target="https://www.kingston.ac.uk/aboutkingstonuniversity/howtheuniversityworks/policiesandregulations/" TargetMode="External"/><Relationship Id="rId2" Type="http://schemas.openxmlformats.org/officeDocument/2006/relationships/webSettings" Target="webSettings.xml"/><Relationship Id="rId20" Type="http://schemas.openxmlformats.org/officeDocument/2006/relationships/hyperlink" Target="https://www.e-lfh.org.uk/" TargetMode="External"/><Relationship Id="rId29" Type="http://schemas.openxmlformats.org/officeDocument/2006/relationships/styles" Target="styles.xm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hyperlink" Target="https://abc-ld.org/event/abc-with-students/" TargetMode="External"/><Relationship Id="rId6" Type="http://schemas.openxmlformats.org/officeDocument/2006/relationships/customXml" Target="../customXml/item3.xml"/><Relationship Id="rId15" Type="http://schemas.openxmlformats.org/officeDocument/2006/relationships/image" Target="media/image2.png"/><Relationship Id="rId23" Type="http://schemas.openxmlformats.org/officeDocument/2006/relationships/hyperlink" Target="https://plplg.uk/pan-london-epad/" TargetMode="External"/><Relationship Id="rId28" Type="http://schemas.openxmlformats.org/officeDocument/2006/relationships/numbering" Target="numbering.xm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kingstonuniversity.sharepoint.com/sites/staffspace/dep/lls/issupportingyourteaching/Pages/readinglists.aspx" TargetMode="External"/><Relationship Id="rId14" Type="http://schemas.openxmlformats.org/officeDocument/2006/relationships/footer" Target="footer1.xml"/><Relationship Id="rId22" Type="http://schemas.openxmlformats.org/officeDocument/2006/relationships/hyperlink" Target="https://www.qni.org.uk/" TargetMode="External"/><Relationship Id="rId27"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54A3C9C-6BA4-4DA4-9550-2E4C3B7314D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