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Chemistry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31/08/2012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Chemical &amp; Pharmaceutical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Chemistry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Chemistry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Chemistry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 xml:space="preserve"> Dip HE Chemistry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UFCHE1CHE03</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F100</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Chemistry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Chemistry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Chemistry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Chemistry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UFCHE1CHE45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Chemistry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Chemistry</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Chemistry</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Chemistry</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UFCHE1CHE55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widowControl w:val="0"/>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Calibri" w:eastAsia="Calibri" w:hAnsi="Calibri" w:cs="Calibri"/>
                <w:b w:val="0"/>
                <w:bCs w:val="0"/>
                <w:color w:val="000000"/>
                <w:sz w:val="22"/>
                <w:szCs w:val="22"/>
                <w:shd w:val="clear" w:color="auto" w:fill="FFFFFF"/>
              </w:rPr>
              <w:t>Royal Society of Chemistry (RSC)</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There are no variants to the UR</w:t>
            </w:r>
            <w:r w:rsidRPr="158602C4">
              <w:rPr>
                <w:rStyle w:val="normaltextrun"/>
                <w:rFonts w:ascii="Arial" w:eastAsia="Arial" w:hAnsi="Arial" w:cs="Arial"/>
                <w:b w:val="0"/>
                <w:bCs w:val="0"/>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main aims of the field taken by BSc students are: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to provide students who take the Chemistry field with a broad knowledge of the main branches of the subject (organic, inorganic, physical and analytical chemistry)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      to provide exposure to other areas of the subject, such as environmental, medicinal and industrial or analytical chemistry, and to permit some degree of specialisation within these areas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to develop subject related practical skills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to enable students to develop their skills in independent study using both primary and secondary literature sources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to provide students with the opportunity to develop their written and oral communication skills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to prepare students for graduate employment (subject related or otherwise) or further study (either taught or by research) by developing their intellectual, problem solving, analytical and key (transferable) skills.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Additionally, for those students following the professional placement programme: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to enable students to complete a period of work experience within the chemical industry, building upon their previous academic knowledge and experience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to provide students with an insight into the role of the professional chemist by firsthand experience and to increase their awareness of career opportunities within the chemical industry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numerical and computational competence necessary for working in science, including the use of Artificial Intelligence (AI), for instance, as a tool to expedite information recovery or information synthesis.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Work and study in an independent manner, be adaptable and selecting appropriate tools to achieve their goal in an efficient and timely manner.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a programme of laboratory work considering the cost and safety of the chemicals by carrying out a safety and risk assessment for it.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how the core chemistry branches can be used in materials research, drug design and synthesis and process development, especially those that are related to the chemical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and report the results of an individual project (or review) and critically evaluate and synthesise the work of others in a subject.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Report on and draw conclusions from the results of laboratory work, being digitally literate: use of IT to calculate, format, reference and illustrate the work according to best practice in the area.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synthetic &amp; analytical experimental techniques competently and safely, informed by UN SDG to work as responsible chemists in various areas such as academia, industry or other commercial capacity.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primary and secondary sources of information, where necessary, using multiple sources of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preparative and analytical (both qualitative and quantitative) laboratory work in the main branches of chemistry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the three core branches of chemistry: inorganic, organic &amp; physical.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Creatively solve problems in aspects of chemistry and the supporting numerical areas, bearing in mind concepts such as green chemistry, sustainability, and inclusion and diversity.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instrumentation and understand the technical basis for it, its applicability as well as the limitations of a given technique to solve the problem at hand.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the interpersonal and time management skills required to collaborate with colleagues to achieve organisational goals (Professional Placement route)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awareness of the structure and function of the employing company/organization in relation to the scientific professional environment (Professional Placement route)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both orally and in writing by discussing and reflecting on their experience of working in a professional environment (Professional Placement route)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Future Skills (FS) will be delivered in an integrated approach to help students develop the graduate attributes listed previously. Navigate will be delivered in CH4004 Academic Skills for Molecular Sciences, Explore in CH5013 Future Trends in Synthetic and Analytical Chemistry and Apply will be delivered in CH6015 Natural Product Chemistry and Sustainable Synthesis.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For level 3 (foundation year) modules, see Programme Specification for Foundation Year in Science.</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Chemistry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Chemistry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Academic Skills for Molecular Sciences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Chemical Foundations: From Atoms to Pharmaceuticals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Chemical Frontiers: Quantum, Inorganic and Environmental Chemistry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Essential Techniques in Chemical Synthesis and Analysis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Exit Awards at Level 4</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Chemistry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Aspects of Physical Chemistry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Future Trends in Synthetic and Analytical Chemistry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Inorganic Chemistry: Trends, Coordination, and Structures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ORGANIC AND MEDICINAL CHEMISTRY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are registered on the professional placement route must successfully complete Levels 4 and 5, before undertaking a period of at least 36 weeks of supervised work experience.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Exit Awards at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Chemistry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Materials and Industrial Chemistry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Inorganic and Physical Chemistry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Sustainable Synthesis and Natural Products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at level 6 but having successfully completed 60 credits at level 6 or above are eligible for the award of an award of BSc Chemistry.</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credits at each level are eligible for the award of BSc (Hons) Chemistry.</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Chemistry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Chemistry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Chemistry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Periodic review undertaken at the subject level</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Re-accreditation by the Royal Society of Chemistry (every 6 years)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 xml:space="preserve">The Frameworks for Higher Education Qualifications of UK Degree-Awarding Bodies: </w:t>
      </w:r>
      <w:hyperlink r:id="rId11" w:history="1">
        <w:r w:rsidRPr="2030048C">
          <w:rPr>
            <w:rFonts w:ascii="Arial" w:eastAsia="Arial" w:hAnsi="Arial" w:cs="Arial"/>
            <w:sz w:val="24"/>
            <w:szCs w:val="24"/>
          </w:rPr>
          <w:t>https://www.qaa.ac.uk/docs/qaa/quality-code/the-frameworks-for-higher-education-qualifications-of-uk-degree-awarding-bodies-2024.pdf</w:t>
        </w:r>
      </w:hyperlink>
      <w:r w:rsidRPr="2030048C">
        <w:rPr>
          <w:rFonts w:ascii="Arial" w:eastAsia="Arial" w:hAnsi="Arial" w:cs="Arial"/>
          <w:sz w:val="22"/>
          <w:szCs w:val="22"/>
        </w:rPr>
        <w:t xml:space="preserve">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 xml:space="preserve">QAA Subject Benchmark in Chemistry: </w:t>
      </w:r>
      <w:hyperlink r:id="rId12" w:history="1">
        <w:r w:rsidRPr="2030048C">
          <w:rPr>
            <w:rFonts w:ascii="Arial" w:eastAsia="Arial" w:hAnsi="Arial" w:cs="Arial"/>
            <w:sz w:val="24"/>
            <w:szCs w:val="24"/>
          </w:rPr>
          <w:t>https://www.qaa.ac.uk/docs/qaa/sbs/sbs-chemistry-22.pdf</w:t>
        </w:r>
      </w:hyperlink>
      <w:r w:rsidRPr="2030048C">
        <w:rPr>
          <w:rFonts w:ascii="Arial" w:eastAsia="Arial" w:hAnsi="Arial" w:cs="Arial"/>
          <w:sz w:val="22"/>
          <w:szCs w:val="22"/>
        </w:rPr>
        <w:t xml:space="preserve">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 xml:space="preserve">Royal Society of Chemistry: </w:t>
      </w:r>
      <w:hyperlink r:id="rId13" w:history="1">
        <w:r w:rsidRPr="2030048C">
          <w:rPr>
            <w:rFonts w:ascii="Arial" w:eastAsia="Arial" w:hAnsi="Arial" w:cs="Arial"/>
            <w:sz w:val="24"/>
            <w:szCs w:val="24"/>
          </w:rPr>
          <w:t>https://www.rsc.org</w:t>
        </w:r>
      </w:hyperlink>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 xml:space="preserve">Advance HE: </w:t>
      </w:r>
      <w:hyperlink r:id="rId14" w:history="1">
        <w:r w:rsidRPr="2030048C">
          <w:rPr>
            <w:rFonts w:ascii="Arial" w:eastAsia="Arial" w:hAnsi="Arial" w:cs="Arial"/>
            <w:sz w:val="24"/>
            <w:szCs w:val="24"/>
          </w:rPr>
          <w:t>https://www.advance-he.ac.uk</w:t>
        </w:r>
      </w:hyperlink>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36"/>
        <w:gridCol w:w="217"/>
        <w:gridCol w:w="556"/>
        <w:gridCol w:w="556"/>
        <w:gridCol w:w="556"/>
        <w:gridCol w:w="556"/>
        <w:gridCol w:w="1"/>
        <w:gridCol w:w="532"/>
        <w:gridCol w:w="556"/>
        <w:gridCol w:w="556"/>
        <w:gridCol w:w="556"/>
        <w:gridCol w:w="556"/>
        <w:gridCol w:w="2"/>
        <w:gridCol w:w="554"/>
        <w:gridCol w:w="556"/>
        <w:gridCol w:w="556"/>
        <w:gridCol w:w="556"/>
        <w:gridCol w:w="55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sc.org"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qaa.ac.uk/docs/qaa/sbs/sbs-chemistry-22.pdf" TargetMode="External"/><Relationship Id="rId17" Type="http://schemas.openxmlformats.org/officeDocument/2006/relationships/styles" Target="styles.xml"/><Relationship Id="rId7" Type="http://schemas.openxmlformats.org/officeDocument/2006/relationships/customXml" Target="../customXml/item4.xml"/><Relationship Id="rId16"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docs/qaa/quality-code/the-frameworks-for-higher-education-qualifications-of-uk-degree-awarding-bodies-2024.pdf" TargetMode="External"/><Relationship Id="rId6" Type="http://schemas.openxmlformats.org/officeDocument/2006/relationships/customXml" Target="../customXml/item3.xml"/><Relationship Id="rId15" Type="http://schemas.openxmlformats.org/officeDocument/2006/relationships/theme" Target="theme/theme1.xml"/><Relationship Id="rId10" Type="http://schemas.openxmlformats.org/officeDocument/2006/relationships/footer" Target="footer1.xml"/><Relationship Id="rId14" Type="http://schemas.openxmlformats.org/officeDocument/2006/relationships/hyperlink" Target="https://www.advance-he.ac.uk/" TargetMode="Externa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D184920-F2ED-46E0-8FAF-924511204E01}"/>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