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Chemistry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Chemistry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Chemistry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Chemistry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 xml:space="preserve"> Dip HE Chemistry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UFCHE1CHE03</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F100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Chemistry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Chemistry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Chemistry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Chemistry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UFCHE1CHE45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Chemistry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Chemistry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Chemistry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Chemistry</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UFCHE1CHE55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Royal Society of Chemistry (RSC)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the UR</w:t>
            </w: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main aims of the field taken by BSc students are: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provide students who take the Chemistry field with a broad knowledge of the main branches of the subject (organic, inorganic, physical and analytical chemistry)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      to provide exposure to other areas of the subject, such as environmental, medicinal and industrial or analytical chemistry, and to permit some degree of specialisation within these areas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develop subject related practical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enable students to develop their skills in independent study using both primary and secondary literature sources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provide students with the opportunity to develop their written and oral communication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prepare students for graduate employment (subject related or otherwise) or further study (either taught or by research) by developing their intellectual, problem solving, analytical and key (transferable)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Additionally, for those students following the professional placement programme: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enable students to complete a period of work experience within the chemical industry, building upon their previous academic knowledge and experience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to provide students with an insight into the role of the professional chemist by firsthand experience and to increase their awareness of career opportunities within the chemical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numerical and computational competence necessary for working in science, including the use of Artificial Intelligence (AI), for instance, as a tool to expedite information recovery or information synthesis.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Work and study in an independent manner, be adaptable and selecting appropriate tools to achieve their goal in an efficient and timely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 programme of laboratory work considering the cost and safety of the chemicals by carrying out a safety and risk assessment for it.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how the core chemistry branches can be used in materials research, drug design and synthesis and process development, especially those that are related to the chemical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and report the results of an individual project (or review) and critically evaluate and synthesise the work of others in a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Report on and draw conclusions from the results of laboratory work, being digitally literate: use of IT to calculate, format, reference and illustrate the work according to best practice in the area.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synthetic &amp; analytical experimental techniques competently and safely, informed by UN SDG to work as responsible chemists in various areas such as academia, industry or other commercial capacity.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primary and secondary sources of information, where necessary, using multiple sources of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preparative and analytical (both qualitative and quantitative) laboratory work in the main branches of chemistry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three core branches of chemistry: inorganic, organic &amp; physical.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Creatively solve problems in aspects of chemistry and the supporting numerical areas, bearing in mind concepts such as green chemistry, sustainability, and inclusion and diversity.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instrumentation and understand the technical basis for it, its applicability as well as the limitations of a given technique to solve the problem at hand.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Future Skills (FS) will be delivered in an integrated approach to help students develop the graduate attributes listed previously. Navigate will be delivered in CH4004 Academic Skills for Molecular Sciences, Explore in CH5013 Future Trends in Synthetic and Analytical Chemistry and Apply will be delivered in CH6015 Natural Product Chemistry and Sustainable Synthesis.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For level 3 (foundation year) modules, see Programme Specification for Foundation Year in Science.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Chemistry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Chemistry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Skills for Molecular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Chemical Foundations: From Atoms to Pharmaceuticals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Chemical Frontiers: Quantum, Inorganic and Environmental Chemistry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 Techniques in Chemical Synthesis and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Exit Awards at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Chemistry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Aspects of Physical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Future Trends in Synthetic and Analytical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Inorganic Chemistry: Trends, Coordination, and Structures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ORGANIC AND MEDICINAL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registered on the professional placement route must successfully complete Levels 4 and 5, before undertaking a period of at least 36 weeks of supervised work experience.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Chemistry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Materials and Industrial 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Inorganic and Physical 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Synthesis and Natural Products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at level 6 but having successfully completed 60 credits at level 6 or above are eligible for the award of an award of BSc Chemistry.</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credits at each level are eligible for the award of BSc (Hons) Chemistry.</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Chemistry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Chemistry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Chemistry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Re-accreditation by the Royal Society of Chemistry (every 6 years)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The Frameworks for Higher Education Qualifications of UK Degree-Awarding Bodies: </w:t>
      </w:r>
      <w:hyperlink r:id="rId11" w:history="1">
        <w:r w:rsidRPr="2030048C">
          <w:rPr>
            <w:rFonts w:ascii="Arial" w:eastAsia="Arial" w:hAnsi="Arial" w:cs="Arial"/>
            <w:sz w:val="24"/>
            <w:szCs w:val="24"/>
          </w:rPr>
          <w:t>https://www.qaa.ac.uk/docs/qaa/quality-code/the-frameworks-for-higher-education-qualifications-of-uk-degree-awarding-bodies-2024.pdf</w:t>
        </w:r>
      </w:hyperlink>
      <w:r w:rsidRPr="2030048C">
        <w:rPr>
          <w:rFonts w:ascii="Arial" w:eastAsia="Arial" w:hAnsi="Arial" w:cs="Arial"/>
          <w:sz w:val="22"/>
          <w:szCs w:val="22"/>
        </w:rPr>
        <w:t xml:space="preserv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QAA Subject Benchmark in Chemistry: </w:t>
      </w:r>
      <w:hyperlink r:id="rId12" w:history="1">
        <w:r w:rsidRPr="2030048C">
          <w:rPr>
            <w:rFonts w:ascii="Arial" w:eastAsia="Arial" w:hAnsi="Arial" w:cs="Arial"/>
            <w:sz w:val="24"/>
            <w:szCs w:val="24"/>
          </w:rPr>
          <w:t>https://www.qaa.ac.uk/docs/qaa/sbs/sbs-chemistry-22.pdf</w:t>
        </w:r>
      </w:hyperlink>
      <w:r w:rsidRPr="2030048C">
        <w:rPr>
          <w:rFonts w:ascii="Arial" w:eastAsia="Arial" w:hAnsi="Arial" w:cs="Arial"/>
          <w:sz w:val="22"/>
          <w:szCs w:val="22"/>
        </w:rPr>
        <w:t xml:space="preserv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Royal Society of Chemistry: </w:t>
      </w:r>
      <w:hyperlink r:id="rId13" w:history="1">
        <w:r w:rsidRPr="2030048C">
          <w:rPr>
            <w:rFonts w:ascii="Arial" w:eastAsia="Arial" w:hAnsi="Arial" w:cs="Arial"/>
            <w:sz w:val="24"/>
            <w:szCs w:val="24"/>
          </w:rPr>
          <w:t>https://www.rsc.org</w:t>
        </w:r>
      </w:hyperlink>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Advance HE: </w:t>
      </w:r>
      <w:hyperlink r:id="rId14" w:history="1">
        <w:r w:rsidRPr="2030048C">
          <w:rPr>
            <w:rFonts w:ascii="Arial" w:eastAsia="Arial" w:hAnsi="Arial" w:cs="Arial"/>
            <w:sz w:val="24"/>
            <w:szCs w:val="24"/>
          </w:rPr>
          <w:t>https://www.advance-he.ac.uk</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6"/>
        <w:gridCol w:w="217"/>
        <w:gridCol w:w="556"/>
        <w:gridCol w:w="556"/>
        <w:gridCol w:w="556"/>
        <w:gridCol w:w="556"/>
        <w:gridCol w:w="1"/>
        <w:gridCol w:w="532"/>
        <w:gridCol w:w="556"/>
        <w:gridCol w:w="556"/>
        <w:gridCol w:w="556"/>
        <w:gridCol w:w="556"/>
        <w:gridCol w:w="2"/>
        <w:gridCol w:w="554"/>
        <w:gridCol w:w="556"/>
        <w:gridCol w:w="556"/>
        <w:gridCol w:w="556"/>
        <w:gridCol w:w="5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sc.or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sbs/sbs-chemistry-22.pdf"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quality-code/the-frameworks-for-higher-education-qualifications-of-uk-degree-awarding-bodies-2024.pdf"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s://www.advance-he.ac.uk/"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D184920-F2ED-46E0-8FAF-924511204E0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