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Animal Management, Behaviour &amp; Welfare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Activate Learning,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Animal Management, Behaviour &amp; Welfare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Animal Management, Behaviour &amp; Welfare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D300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From </w:t>
            </w:r>
            <w:r w:rsidRPr="2030048C">
              <w:rPr>
                <w:rStyle w:val="normaltextrun"/>
                <w:rFonts w:ascii="Arial" w:eastAsia="Arial" w:hAnsi="Arial" w:cs="Arial"/>
                <w:b w:val="0"/>
                <w:bCs w:val="0"/>
                <w:color w:val="000000"/>
                <w:sz w:val="24"/>
                <w:szCs w:val="24"/>
                <w:shd w:val="clear" w:color="auto" w:fill="FFFFFF"/>
              </w:rPr>
              <w:t xml:space="preserve">Foundation Degree </w:t>
            </w:r>
            <w:r w:rsidRPr="2030048C">
              <w:rPr>
                <w:rStyle w:val="normaltextrun"/>
                <w:rFonts w:ascii="Arial" w:eastAsia="Arial" w:hAnsi="Arial" w:cs="Arial"/>
                <w:b w:val="0"/>
                <w:bCs w:val="0"/>
                <w:color w:val="000000"/>
                <w:sz w:val="24"/>
                <w:szCs w:val="24"/>
                <w:shd w:val="clear" w:color="auto" w:fill="FFFFFF"/>
              </w:rPr>
              <w:t xml:space="preserve">(FdSc) </w:t>
            </w:r>
            <w:r w:rsidRPr="2030048C">
              <w:rPr>
                <w:rStyle w:val="normaltextrun"/>
                <w:rFonts w:ascii="Arial" w:eastAsia="Arial" w:hAnsi="Arial" w:cs="Arial"/>
                <w:b w:val="0"/>
                <w:bCs w:val="0"/>
                <w:color w:val="000000"/>
                <w:sz w:val="24"/>
                <w:szCs w:val="24"/>
                <w:shd w:val="clear" w:color="auto" w:fill="FFFFFF"/>
              </w:rPr>
              <w:t>or Higher National Diploma</w:t>
            </w:r>
            <w:r w:rsidRPr="2030048C">
              <w:rPr>
                <w:rStyle w:val="normaltextrun"/>
                <w:rFonts w:ascii="Arial" w:eastAsia="Arial" w:hAnsi="Arial" w:cs="Arial"/>
                <w:b w:val="0"/>
                <w:bCs w:val="0"/>
                <w:color w:val="000000"/>
                <w:sz w:val="24"/>
                <w:szCs w:val="24"/>
                <w:shd w:val="clear" w:color="auto" w:fill="FFFFFF"/>
              </w:rPr>
              <w:t xml:space="preserve"> (HND): </w:t>
            </w:r>
            <w:r w:rsidRPr="2030048C">
              <w:rPr>
                <w:rStyle w:val="normaltextrun"/>
                <w:rFonts w:ascii="Arial" w:eastAsia="Arial" w:hAnsi="Arial" w:cs="Arial"/>
                <w:b w:val="0"/>
                <w:bCs w:val="0"/>
                <w:color w:val="000000"/>
                <w:sz w:val="24"/>
                <w:szCs w:val="24"/>
                <w:shd w:val="clear" w:color="auto" w:fill="FFFFFF"/>
              </w:rPr>
              <w:t>Pass</w:t>
            </w:r>
            <w:r w:rsidRPr="2030048C">
              <w:rPr>
                <w:rStyle w:val="normaltextrun"/>
                <w:rFonts w:ascii="Arial" w:eastAsia="Arial" w:hAnsi="Arial" w:cs="Arial"/>
                <w:b w:val="0"/>
                <w:bCs w:val="0"/>
                <w:color w:val="000000"/>
                <w:sz w:val="24"/>
                <w:szCs w:val="24"/>
                <w:shd w:val="clear" w:color="auto" w:fill="FFFFFF"/>
              </w:rPr>
              <w:t xml:space="preserve"> in a related subject area</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Entry from courses completed at other Higher Education Institutions is subject to satisfactorily meeting the KU requirements applicable to RPCL / RPEL.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Plus: </w:t>
            </w:r>
            <w:r w:rsidRPr="2030048C">
              <w:rPr>
                <w:rStyle w:val="normaltextrun"/>
                <w:rFonts w:ascii="Arial" w:eastAsia="Arial" w:hAnsi="Arial" w:cs="Arial"/>
                <w:b w:val="0"/>
                <w:bCs w:val="0"/>
                <w:color w:val="000000"/>
                <w:sz w:val="24"/>
                <w:szCs w:val="24"/>
                <w:shd w:val="clear" w:color="auto" w:fill="FFFFFF"/>
              </w:rPr>
              <w:t>C</w:t>
            </w:r>
            <w:r w:rsidRPr="2030048C">
              <w:rPr>
                <w:rStyle w:val="normaltextrun"/>
                <w:rFonts w:ascii="Arial" w:eastAsia="Arial" w:hAnsi="Arial" w:cs="Arial"/>
                <w:b w:val="0"/>
                <w:bCs w:val="0"/>
                <w:color w:val="000000"/>
                <w:sz w:val="24"/>
                <w:szCs w:val="24"/>
                <w:shd w:val="clear" w:color="auto" w:fill="FFFFFF"/>
              </w:rPr>
              <w:t xml:space="preserve">andidates are normally required to hold five GCSE subjects </w:t>
            </w:r>
            <w:r w:rsidRPr="2030048C">
              <w:rPr>
                <w:rStyle w:val="normaltextrun"/>
                <w:rFonts w:ascii="Arial" w:eastAsia="Arial" w:hAnsi="Arial" w:cs="Arial"/>
                <w:b w:val="0"/>
                <w:bCs w:val="0"/>
                <w:color w:val="000000"/>
                <w:sz w:val="24"/>
                <w:szCs w:val="24"/>
                <w:shd w:val="clear" w:color="auto" w:fill="FFFFFF"/>
              </w:rPr>
              <w:t xml:space="preserve">at </w:t>
            </w:r>
            <w:r w:rsidRPr="2030048C">
              <w:rPr>
                <w:rStyle w:val="normaltextrun"/>
                <w:rFonts w:ascii="Arial" w:eastAsia="Arial" w:hAnsi="Arial" w:cs="Arial"/>
                <w:b w:val="0"/>
                <w:bCs w:val="0"/>
                <w:color w:val="000000"/>
                <w:sz w:val="24"/>
                <w:szCs w:val="24"/>
                <w:shd w:val="clear" w:color="auto" w:fill="FFFFFF"/>
              </w:rPr>
              <w:t xml:space="preserve">grades A*–C </w:t>
            </w:r>
            <w:r w:rsidRPr="2030048C">
              <w:rPr>
                <w:rStyle w:val="normaltextrun"/>
                <w:rFonts w:ascii="Arial" w:eastAsia="Arial" w:hAnsi="Arial" w:cs="Arial"/>
                <w:b w:val="0"/>
                <w:bCs w:val="0"/>
                <w:color w:val="000000"/>
                <w:sz w:val="24"/>
                <w:szCs w:val="24"/>
                <w:shd w:val="clear" w:color="auto" w:fill="FFFFFF"/>
              </w:rPr>
              <w:t xml:space="preserve">or 4+ </w:t>
            </w:r>
            <w:r w:rsidRPr="2030048C">
              <w:rPr>
                <w:rStyle w:val="normaltextrun"/>
                <w:rFonts w:ascii="Arial" w:eastAsia="Arial" w:hAnsi="Arial" w:cs="Arial"/>
                <w:b w:val="0"/>
                <w:bCs w:val="0"/>
                <w:color w:val="000000"/>
                <w:sz w:val="24"/>
                <w:szCs w:val="24"/>
                <w:shd w:val="clear" w:color="auto" w:fill="FFFFFF"/>
              </w:rPr>
              <w:t>including Mathematics and English Language</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A minimum IELTS score of </w:t>
            </w:r>
            <w:r w:rsidRPr="2030048C">
              <w:rPr>
                <w:rStyle w:val="normaltextrun"/>
                <w:rFonts w:ascii="Arial" w:eastAsia="Arial" w:hAnsi="Arial" w:cs="Arial"/>
                <w:b w:val="0"/>
                <w:bCs w:val="0"/>
                <w:color w:val="000000"/>
                <w:sz w:val="24"/>
                <w:szCs w:val="24"/>
                <w:shd w:val="clear" w:color="auto" w:fill="FFFFFF"/>
              </w:rPr>
              <w:t>6</w:t>
            </w:r>
            <w:r w:rsidRPr="2030048C">
              <w:rPr>
                <w:rStyle w:val="normaltextrun"/>
                <w:rFonts w:ascii="Arial" w:eastAsia="Arial" w:hAnsi="Arial" w:cs="Arial"/>
                <w:b w:val="0"/>
                <w:bCs w:val="0"/>
                <w:color w:val="000000"/>
                <w:sz w:val="24"/>
                <w:szCs w:val="24"/>
                <w:shd w:val="clear" w:color="auto" w:fill="FFFFFF"/>
              </w:rPr>
              <w:t xml:space="preserve"> with a minimum 5.5 in each component</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 xml:space="preserve">5.5 </w:t>
            </w:r>
            <w:r w:rsidRPr="2030048C">
              <w:rPr>
                <w:rStyle w:val="normaltextrun"/>
                <w:rFonts w:ascii="Arial" w:eastAsia="Arial" w:hAnsi="Arial" w:cs="Arial"/>
                <w:b w:val="0"/>
                <w:bCs w:val="0"/>
                <w:color w:val="000000"/>
                <w:sz w:val="24"/>
                <w:szCs w:val="24"/>
                <w:shd w:val="clear" w:color="auto" w:fill="FFFFFF"/>
              </w:rPr>
              <w:t>or equivalent is required for those for whom English is not their first language.</w:t>
            </w:r>
            <w:r w:rsidRPr="2030048C">
              <w:rPr>
                <w:rStyle w:val="normaltextrun"/>
                <w:rFonts w:ascii="Arial" w:eastAsia="Arial" w:hAnsi="Arial" w:cs="Arial"/>
                <w:b w:val="0"/>
                <w:bCs w:val="0"/>
                <w:color w:val="000000"/>
                <w:sz w:val="24"/>
                <w:szCs w:val="24"/>
                <w:shd w:val="clear" w:color="auto" w:fill="FFFFFF"/>
              </w:rPr>
              <w:t xml:space="preserv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variants</w:t>
            </w:r>
          </w:p>
          <w:p w:rsidR="5D711985" w:rsidRPr="158602C4" w:rsidP="158602C4">
            <w:pPr>
              <w:pStyle w:val="p"/>
              <w:shd w:val="clear" w:color="auto" w:fill="FFFFFE"/>
              <w:spacing w:before="0" w:beforeAutospacing="0" w:after="0" w:afterAutospacing="0" w:line="285" w:lineRule="auto"/>
              <w:ind w:left="360" w:right="0"/>
              <w:rPr>
                <w:rStyle w:val="normaltextrun"/>
                <w:rFonts w:ascii="Arial" w:eastAsia="Arial" w:hAnsi="Arial" w:cs="Arial"/>
                <w:b w:val="0"/>
                <w:bCs w:val="0"/>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The main aims of the programme are to: -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Present a cohesive programme of study building on the underpinning knowledge gained in the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 xml:space="preserve">oundation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egree in Animal Behaviour and Welfare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equipped with in-depth knowledge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and critical understanding </w:t>
      </w:r>
      <w:r w:rsidRPr="2030048C">
        <w:rPr>
          <w:rStyle w:val="normaltextrun"/>
          <w:rFonts w:ascii="Arial" w:hAnsi="Arial" w:cs="Arial"/>
          <w:color w:val="000000" w:themeColor="text1"/>
          <w:sz w:val="24"/>
          <w:szCs w:val="24"/>
          <w:shd w:val="clear" w:color="auto" w:fill="FFFFFF"/>
        </w:rPr>
        <w:t xml:space="preserve">of </w:t>
      </w:r>
      <w:r w:rsidRPr="2030048C">
        <w:rPr>
          <w:rStyle w:val="normaltextrun"/>
          <w:rFonts w:ascii="Arial" w:hAnsi="Arial" w:cs="Arial"/>
          <w:color w:val="000000" w:themeColor="text1"/>
          <w:sz w:val="24"/>
          <w:szCs w:val="24"/>
          <w:shd w:val="clear" w:color="auto" w:fill="FFFFFF"/>
        </w:rPr>
        <w:t xml:space="preserve">key concepts relating to </w:t>
      </w:r>
      <w:r w:rsidRPr="2030048C">
        <w:rPr>
          <w:rStyle w:val="normaltextrun"/>
          <w:rFonts w:ascii="Arial" w:hAnsi="Arial" w:cs="Arial"/>
          <w:color w:val="000000" w:themeColor="text1"/>
          <w:sz w:val="24"/>
          <w:szCs w:val="24"/>
          <w:shd w:val="clear" w:color="auto" w:fill="FFFFFF"/>
        </w:rPr>
        <w:t>animal behaviour and welfare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carry out independent research into current issues related to animal behaviour and welfare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w:t>
      </w:r>
      <w:r w:rsidRPr="2030048C">
        <w:rPr>
          <w:rStyle w:val="normaltextrun"/>
          <w:rFonts w:ascii="Arial" w:hAnsi="Arial" w:cs="Arial"/>
          <w:color w:val="000000" w:themeColor="text1"/>
          <w:sz w:val="24"/>
          <w:szCs w:val="24"/>
          <w:shd w:val="clear" w:color="auto" w:fill="FFFFFF"/>
        </w:rPr>
        <w:t xml:space="preserve">students’ </w:t>
      </w:r>
      <w:r w:rsidRPr="2030048C">
        <w:rPr>
          <w:rStyle w:val="normaltextrun"/>
          <w:rFonts w:ascii="Arial" w:hAnsi="Arial" w:cs="Arial"/>
          <w:color w:val="000000" w:themeColor="text1"/>
          <w:sz w:val="24"/>
          <w:szCs w:val="24"/>
          <w:shd w:val="clear" w:color="auto" w:fill="FFFFFF"/>
        </w:rPr>
        <w:t xml:space="preserve">practical skills to enhance management of animal behaviour and welfare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Guide students in the use of scientific information to inform decision-making processes in the field of animal behaviour and welfare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employment in a wide range of contexts where animal behaviour and welfare will be applied, or for further study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opportunity for the development of key transferable skills relevant to the student’s future careers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It provides both academic rigour and vocational skills needed to meet the demands of employment in a wide range of animal related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behavioural and welfare needs of animals, and how management systems meet those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creativity and innovation balanced by ethical awareness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subject-specific practical and professional competencies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appropriate theories, concepts and principles from a range of disciplines and apply them in practice to a range of animal behavioural and welfare scenarios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analyse and integrate several lines of evidence to develop balanced arguments demonstrating critical thinking and synthesis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plan and undertake field, laboratory or other investigations in a responsible, sensitive and safe manner, paying due diligence to risk assessment, ethical and data protection issues, rights of access, and relevant health and safety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the knowledge base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synthesise and summarise information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and record diverse types of information generated by a wide range of methodologies and summarise it using appropriate qualitative and/or quantitative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understanding of the defining elements of animal behaviour and welfare as a result of in-depth study or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use appropriate theories, concepts and principles from a range of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account of safety regulations, legal requirements including intellectual property rights, and the impact of investigations on the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or 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(Hons)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Animal Behaviour &amp; Welfare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is available as a full-field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w:t>
      </w:r>
      <w:r w:rsidRPr="2030048C">
        <w:rPr>
          <w:rFonts w:ascii="Arial" w:eastAsia="Arial" w:hAnsi="Arial" w:cs="Arial"/>
          <w:color w:val="000000" w:themeColor="text1" w:themeShade="FF" w:themeTint="FF"/>
          <w:sz w:val="24"/>
          <w:szCs w:val="24"/>
        </w:rPr>
        <w:t xml:space="preserve"> at L</w:t>
      </w:r>
      <w:r w:rsidRPr="2030048C">
        <w:rPr>
          <w:rFonts w:ascii="Arial" w:eastAsia="Arial" w:hAnsi="Arial" w:cs="Arial"/>
          <w:color w:val="000000" w:themeColor="text1" w:themeShade="FF" w:themeTint="FF"/>
          <w:sz w:val="24"/>
          <w:szCs w:val="24"/>
        </w:rPr>
        <w:t>evel 6</w:t>
      </w:r>
      <w:r w:rsidRPr="2030048C">
        <w:rPr>
          <w:rFonts w:ascii="Arial" w:eastAsia="Arial" w:hAnsi="Arial" w:cs="Arial"/>
          <w:color w:val="000000" w:themeColor="text1" w:themeShade="FF" w:themeTint="FF"/>
          <w:sz w:val="24"/>
          <w:szCs w:val="24"/>
        </w:rPr>
        <w:t xml:space="preserve"> with </w:t>
      </w:r>
      <w:r w:rsidRPr="2030048C">
        <w:rPr>
          <w:rFonts w:ascii="Arial" w:eastAsia="Arial" w:hAnsi="Arial" w:cs="Arial"/>
          <w:color w:val="000000" w:themeColor="text1" w:themeShade="FF" w:themeTint="FF"/>
          <w:sz w:val="24"/>
          <w:szCs w:val="24"/>
        </w:rPr>
        <w:t>FdSc</w:t>
      </w:r>
      <w:r w:rsidRPr="2030048C">
        <w:rPr>
          <w:rFonts w:ascii="Arial" w:eastAsia="Arial" w:hAnsi="Arial" w:cs="Arial"/>
          <w:color w:val="000000" w:themeColor="text1" w:themeShade="FF" w:themeTint="FF"/>
          <w:sz w:val="24"/>
          <w:szCs w:val="24"/>
        </w:rPr>
        <w:t xml:space="preserve"> or equivalent qualifications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modules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each worth 30 credits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Animal Management, Behaviour &amp; Welfare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Animal Management, Behaviour &amp; Welfare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Animal Cognition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Concepts in Animal Welfare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Practical Experiments in Animal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 xml:space="preserve">This programme is designed to develop a student’s knowledge, understanding, cognitive and practical skills and key transferable skills at Level 6. </w:t>
      </w:r>
      <w:r w:rsidRPr="2030048C">
        <w:rPr>
          <w:rFonts w:ascii="Arial" w:eastAsia="Arial" w:hAnsi="Arial" w:cs="Arial"/>
          <w:color w:val="000000"/>
          <w:sz w:val="22"/>
          <w:szCs w:val="22"/>
        </w:rPr>
        <w:t>Regular work will be completed in the animal management centre with a range of species, in particular to assess welfare and complete behaviour experiments. A range of teaching styles and activities will be used to reflect the diversity of the group’s learning needs.</w:t>
      </w:r>
      <w:r w:rsidRPr="2030048C">
        <w:rPr>
          <w:rFonts w:ascii="Arial" w:eastAsia="Arial" w:hAnsi="Arial" w:cs="Arial"/>
          <w:sz w:val="22"/>
          <w:szCs w:val="22"/>
        </w:rPr>
        <w:t xml:space="preserve"> These include lectures, tutorials and seminars, student-led seminars, practical classes, literature and field-based research, educational visits, specialist external lectures, directed self-study, working in groups, and e-learning technologies including the use of Moodle;- the VLE. The teaching and learning strategies selected enable the development of reflective and critical approaches to the study of animal behaviour and welfare.  The ultimate goal of student learning is the considered application of knowledge and skills together with an appreciation of the integrative nature of the subject areas in an appropriate context. </w:t>
      </w:r>
      <w:r w:rsidRPr="2030048C">
        <w:rPr>
          <w:rFonts w:ascii="Arial" w:eastAsia="Arial" w:hAnsi="Arial" w:cs="Arial"/>
          <w:color w:val="000000"/>
          <w:sz w:val="22"/>
          <w:szCs w:val="22"/>
        </w:rPr>
        <w:t xml:space="preserve">This range of strategies accommodates different learning styles and enables the programme delivery to be more inclusive, engaging and interesting for all.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webcams, CCTV and video recording for remote behavioural observation. Students will also utilise various pieces of technology to assess and monitor welfare e.g. thermal imaging cameras. Students might also use 3D printing technology to create mazes for animal behaviour experiments at the Innovation Room at our Stoke Park campus.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Where appropriate, guest speakers and educational visits to a range of working environments are used to support the learning. This is of considerable benefit to students as it enables new and unique experiences, this potentially might include visits to observe police dog training, viewing specialist animal training for husbandry, assistance or entertainment purposes e.g. at a zoo and gain experience of welfare organisations such as Battersea, RSPCA and CIWF. These additional learning experiences enable students to support their learning in context and allow a network of contacts to develop.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Although placements are not compulsory, students are encouraged to engage with voluntary placements to support their teaching, learning and assessment. Suitable placements would be recommended at welfare organisations, with animal behaviourists or at a captive wild animal collection to observe and work with animal training for example.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Emphasis is placed on developing evaluative and analytical approaches and problem-solving skills and this is a key focus within the assessment programme. 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Assessments include formative opportunities to receive developmental feedback; and summative assessment which assesses progress formally. Students are expected to fully engage with the formative approach in order to take control of their own development. The assessment loading is 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expected to take charge of developing their own learning, through independent </w:t>
      </w:r>
    </w:p>
    <w:p w:rsidRPr="2030048C" w:rsidP="2030048C">
      <w:pPr>
        <w:rPr>
          <w:rFonts w:ascii="Arial" w:eastAsia="Arial" w:hAnsi="Arial" w:cs="Arial"/>
          <w:sz w:val="24"/>
          <w:szCs w:val="24"/>
        </w:rPr>
      </w:pPr>
      <w:r w:rsidRPr="2030048C">
        <w:rPr>
          <w:rFonts w:ascii="Arial" w:eastAsia="Arial" w:hAnsi="Arial" w:cs="Arial"/>
          <w:color w:val="000000"/>
          <w:sz w:val="22"/>
          <w:szCs w:val="22"/>
        </w:rPr>
        <w:t>research, reflection and further study.  Students should use the time allocated for self-guided study to plan, critically analyse and reflect on their learning, undertake extensive further research through private study and engage in the library resources through wider reading. Students will be required to enhance their skills in time management, complex problem solving and self-motivation. By developing these skills as independent learners, it will allow for the enhancement of graduate skills and contribute towards future employability. Further detail is provided for each module via the support for guided independent study document.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 throughout the year. Clear guidelines, processes and assessment criteria will be provided, supported by a research project handbook.</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Equality and diversity are fully embedded within the content and delivery of the course giving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an inclusive programme for the learner. Equality is a fundamental value of the teaching and learning, with all learners having the ability to demonstrate academic and practical strengths and develop further through support and self-directed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 xml:space="preserve"> personal tutor who is available to give support and guidance in relation to professional development, academic support and pastoral care</w:t>
      </w:r>
      <w:r w:rsidRPr="2030048C">
        <w:rPr>
          <w:rFonts w:ascii="Arial" w:eastAsia="Arial" w:hAnsi="Arial" w:cs="Arial"/>
          <w:sz w:val="24"/>
          <w:szCs w:val="24"/>
        </w:rPr>
        <w:t xml:space="preserve"> via one-to-one tutorials, email, phone or Skype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Module leader for each module studied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Group tutorials to develop study skills and allow feedback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Additional learner support</w:t>
      </w:r>
      <w:r w:rsidRPr="2030048C">
        <w:rPr>
          <w:rFonts w:ascii="Arial" w:eastAsia="Arial" w:hAnsi="Arial" w:cs="Arial"/>
          <w:sz w:val="24"/>
          <w:szCs w:val="24"/>
        </w:rPr>
        <w:t xml:space="preserve"> (ALS) is available at the skills centre</w:t>
      </w:r>
      <w:r w:rsidRPr="2030048C">
        <w:rPr>
          <w:rFonts w:ascii="Arial" w:eastAsia="Arial" w:hAnsi="Arial" w:cs="Arial"/>
          <w:sz w:val="24"/>
          <w:szCs w:val="24"/>
        </w:rPr>
        <w:t>. Students are introduced to this department during induction and again during initial tutorials.</w:t>
      </w:r>
      <w:r w:rsidRPr="2030048C">
        <w:rPr>
          <w:rFonts w:ascii="Arial" w:eastAsia="Arial" w:hAnsi="Arial" w:cs="Arial"/>
          <w:sz w:val="24"/>
          <w:szCs w:val="24"/>
        </w:rPr>
        <w:t xml:space="preserve">  </w:t>
      </w:r>
      <w:r w:rsidRPr="2030048C">
        <w:rPr>
          <w:rFonts w:ascii="Arial" w:eastAsia="Arial" w:hAnsi="Arial" w:cs="Arial"/>
          <w:sz w:val="24"/>
          <w:szCs w:val="24"/>
        </w:rPr>
        <w:t>This department extensively supports those students with a DSA</w:t>
      </w:r>
      <w:r w:rsidRPr="2030048C">
        <w:rPr>
          <w:rFonts w:ascii="Arial" w:eastAsia="Arial" w:hAnsi="Arial" w:cs="Arial"/>
          <w:sz w:val="24"/>
          <w:szCs w:val="24"/>
        </w:rPr>
        <w:t xml:space="preserve">.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Comprehensive induction and handbook issued</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Guided Independent Learning document per module</w:t>
      </w:r>
      <w:r w:rsidRPr="2030048C">
        <w:rPr>
          <w:rFonts w:ascii="Arial" w:eastAsia="Arial" w:hAnsi="Arial" w:cs="Arial"/>
          <w:sz w:val="24"/>
          <w:szCs w:val="24"/>
        </w:rPr>
        <w:t xml:space="preserve">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Research project handbook</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Learning Resource centre and induction to e-learning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Moodle site for course specific material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Staff Course Consultative meetings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Students Union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Peer me</w:t>
      </w:r>
      <w:r w:rsidRPr="2030048C">
        <w:rPr>
          <w:rFonts w:ascii="Arial" w:eastAsia="Arial" w:hAnsi="Arial" w:cs="Arial"/>
          <w:sz w:val="24"/>
          <w:szCs w:val="24"/>
        </w:rPr>
        <w:t>ntors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Careers Service supporting job application and CV development</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Mental health and student wellbeing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Personal Tutor Scheme (PTS) has been </w:t>
      </w:r>
      <w:r w:rsidRPr="2030048C">
        <w:rPr>
          <w:rFonts w:ascii="Arial" w:eastAsia="Arial" w:hAnsi="Arial" w:cs="Arial"/>
          <w:sz w:val="22"/>
          <w:szCs w:val="22"/>
        </w:rPr>
        <w:t xml:space="preserve">designed to enable us to give the best possible academic support and guidance to all of our students, and to ensure that they are able to access the wider services that </w:t>
      </w:r>
      <w:r w:rsidRPr="2030048C">
        <w:rPr>
          <w:rFonts w:ascii="Arial" w:eastAsia="Arial" w:hAnsi="Arial" w:cs="Arial"/>
          <w:sz w:val="22"/>
          <w:szCs w:val="22"/>
        </w:rPr>
        <w:t>the college</w:t>
      </w:r>
      <w:r w:rsidRPr="2030048C">
        <w:rPr>
          <w:rFonts w:ascii="Arial" w:eastAsia="Arial" w:hAnsi="Arial" w:cs="Arial"/>
          <w:sz w:val="22"/>
          <w:szCs w:val="22"/>
        </w:rPr>
        <w:t xml:space="preserve"> provide</w:t>
      </w:r>
      <w:r w:rsidRPr="2030048C">
        <w:rPr>
          <w:rFonts w:ascii="Arial" w:eastAsia="Arial" w:hAnsi="Arial" w:cs="Arial"/>
          <w:sz w:val="22"/>
          <w:szCs w:val="22"/>
        </w:rPr>
        <w:t>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2"/>
          <w:szCs w:val="22"/>
        </w:rPr>
        <w:t>The r</w:t>
      </w:r>
      <w:r w:rsidRPr="2030048C">
        <w:rPr>
          <w:rFonts w:ascii="Arial" w:eastAsia="Arial" w:hAnsi="Arial" w:cs="Arial"/>
          <w:sz w:val="22"/>
          <w:szCs w:val="22"/>
        </w:rPr>
        <w:t>ole of the personal tutor and aims of the PTS: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build rapport between staff and students and contribute to personalising students’ experience at </w:t>
      </w:r>
      <w:r w:rsidRPr="2030048C">
        <w:rPr>
          <w:rFonts w:ascii="Arial" w:eastAsia="Arial" w:hAnsi="Arial" w:cs="Arial"/>
          <w:sz w:val="22"/>
          <w:szCs w:val="22"/>
        </w:rPr>
        <w:t>Merrist Wood</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provide appropriate academic advice and guidance to students throughout their time at </w:t>
      </w:r>
      <w:r w:rsidRPr="2030048C">
        <w:rPr>
          <w:rFonts w:ascii="Arial" w:eastAsia="Arial" w:hAnsi="Arial" w:cs="Arial"/>
          <w:sz w:val="22"/>
          <w:szCs w:val="22"/>
        </w:rPr>
        <w:t>Merrist Wood</w:t>
      </w:r>
      <w:r w:rsidRPr="2030048C">
        <w:rPr>
          <w:rFonts w:ascii="Arial" w:eastAsia="Arial" w:hAnsi="Arial" w:cs="Arial"/>
          <w:sz w:val="22"/>
          <w:szCs w:val="22"/>
        </w:rPr>
        <w:t xml:space="preserve"> by monitoring their progress and helping to identify individual needs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2"/>
          <w:szCs w:val="22"/>
        </w:rPr>
        <w:t>To foster a close and engaged academic relationship with students and advise and refer students to other services as appropriate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2"/>
          <w:szCs w:val="22"/>
        </w:rPr>
        <w:t>To help to develop students’ ability to be self-reliant and self-reflective and their ability to use feedback to best advantage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Annual </w:t>
      </w:r>
      <w:r w:rsidRPr="2030048C">
        <w:rPr>
          <w:rFonts w:ascii="Arial" w:eastAsia="Arial" w:hAnsi="Arial" w:cs="Arial"/>
          <w:sz w:val="24"/>
          <w:szCs w:val="24"/>
        </w:rPr>
        <w:t>M</w:t>
      </w:r>
      <w:r w:rsidRPr="2030048C">
        <w:rPr>
          <w:rFonts w:ascii="Arial" w:eastAsia="Arial" w:hAnsi="Arial" w:cs="Arial"/>
          <w:sz w:val="24"/>
          <w:szCs w:val="24"/>
        </w:rPr>
        <w:t>onitoring and</w:t>
      </w:r>
      <w:r w:rsidRPr="2030048C">
        <w:rPr>
          <w:rFonts w:ascii="Arial" w:eastAsia="Arial" w:hAnsi="Arial" w:cs="Arial"/>
          <w:sz w:val="24"/>
          <w:szCs w:val="24"/>
        </w:rPr>
        <w:t xml:space="preserve"> E</w:t>
      </w:r>
      <w:r w:rsidRPr="2030048C">
        <w:rPr>
          <w:rFonts w:ascii="Arial" w:eastAsia="Arial" w:hAnsi="Arial" w:cs="Arial"/>
          <w:sz w:val="24"/>
          <w:szCs w:val="24"/>
        </w:rPr>
        <w:t>nhancement</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r w:rsidRPr="2030048C">
        <w:rPr>
          <w:rFonts w:ascii="Arial" w:eastAsia="Arial" w:hAnsi="Arial" w:cs="Arial"/>
          <w:sz w:val="24"/>
          <w:szCs w:val="24"/>
        </w:rPr>
        <w:t xml:space="preserve"> including MEQs, level surveys and the NSS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61B9FF4-A4F7-4B3E-801F-81817209BF3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