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Mental Health Nursing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Mental Health Nursing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r w:rsidRPr="2030048C" w:rsidR="71C545CA">
              <w:rPr>
                <w:rFonts w:ascii="Arial" w:eastAsia="Arial" w:hAnsi="Arial" w:cs="Arial"/>
                <w:b w:val="0"/>
                <w:bCs w:val="0"/>
                <w:sz w:val="24"/>
                <w:szCs w:val="24"/>
                <w:lang w:val="en-GB"/>
              </w:rPr>
              <w:t>These awards do not enable the student to register with the NMC.</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UFNMH1NMH77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 A variant request will be submitted for the new programmes in line with the existing variant</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retain zero credit modules.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have a single element of assessment for 30-credit module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be exempted from the 15-credit Apply module for 2026/27</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Registered Nurse Degree (NMC, 2018) Apprenticeship Standard ST0781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tbl>
            <w:tblPr>
              <w:tblStyle w:val="MsoTableGrid"/>
              <w:tblCellSpacing w:w="15" w:type="dxa"/>
              <w:tblCellMar>
                <w:top w:w="15" w:type="dxa"/>
                <w:left w:w="15" w:type="dxa"/>
                <w:bottom w:w="15" w:type="dxa"/>
                <w:right w:w="15" w:type="dxa"/>
              </w:tblCellMar>
              <w:tblLook w:val="05E0"/>
            </w:tblPr>
            <w:tblGrid>
              <w:gridCol w:w="6885"/>
            </w:tblGrid>
            <w:tr>
              <w:tblPrEx>
                <w:tblLook w:val="05E0"/>
              </w:tblPrEx>
              <w:tc>
                <w:tcPr>
                  <w:noWrap w:val="0"/>
                  <w:tcMar>
                    <w:top w:w="15" w:type="dxa"/>
                    <w:left w:w="15" w:type="dxa"/>
                    <w:bottom w:w="15" w:type="dxa"/>
                    <w:right w:w="15" w:type="dxa"/>
                  </w:tcMar>
                  <w:vAlign w:val="center"/>
                  <w:hideMark/>
                </w:tcPr>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be employed and have full agreement from their health care employer.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 appropriate employment, normally working 37.5 hours per week</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Where applicable, a ‘Right to Work’ covering the full length of the course and end point assessment (3 years 2 months).</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At the point of entry onto the course, applicants for the apprenticeship route must be employed within a health or care setting where they can be appropriately supervised by a registered nurse or other appropriate registered health or social care professional.</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applicants who meet the minimum requirements are required to attend an interview which includes questions focused on: their motivations to study nursing, their rationale for choosing mental health nursing, their understanding of the role of the nurse and the values and attributes required by nurses. This provides a link between the admissions processes and the NMC Code (2018)  and a values-based approach to selection that allows applicants to demonstrate their understanding of nursing and the skills and knowledge they feel they will bring to a nursing course at Kingston University. The application interview has been designed to be inclusive.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 part of the admissions process applicants will be asked to complete an Initial Needs Assessment to confirm whether they have undertaken previous certificated learning that</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repeats learning offered by the Registered Nurse Degree.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declaration is a requirement for all apprenticeship applicants, as duplication of learning or assessment previously undertaken is not eligible for apprenticeship funding under the Education and Skills Funding Agency rules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(ESFA, 2018)</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Recognition of Prior Learning (RPL) will be considered including applicants with a relevant Foundation Degree (e.g. Nursing Associate, Healthcare Practice) for up to a maximum of 50% of the programme. </w:t>
                  </w:r>
                </w:p>
              </w:tc>
            </w:tr>
          </w:tbl>
          <w:p w:rsidR="00A92C9B" w:rsidRPr="00BF1022" w:rsidP="2030048C" w14:paraId="1F6642E3"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The EPAO is Kingston University as this is an integrated End Point Assessment.</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contemporary, digitally enhanced, evidence-based nursing education which meets the needs of</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people who use services and local health and social care employers.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accountable, safe, compassionate and resilient practitioners who demonstrate professional attitudes and behaviours consistent with the </w:t>
      </w:r>
      <w:hyperlink r:id="rId9" w:history="1">
        <w:r w:rsidRPr="2030048C">
          <w:rPr>
            <w:rStyle w:val="normaltextrun"/>
            <w:rFonts w:ascii="Arial" w:hAnsi="Arial" w:cs="Arial"/>
            <w:color w:val="000000" w:themeColor="text1"/>
            <w:sz w:val="24"/>
            <w:szCs w:val="24"/>
            <w:shd w:val="clear" w:color="auto" w:fill="FFFFFF"/>
          </w:rPr>
          <w:t xml:space="preserve">NMC Code (2018) </w:t>
        </w:r>
      </w:hyperlink>
      <w:r w:rsidRPr="2030048C">
        <w:rPr>
          <w:rStyle w:val="normaltextrun"/>
          <w:rFonts w:ascii="Arial" w:hAnsi="Arial" w:cs="Arial"/>
          <w:i/>
          <w:iCs/>
          <w:color w:val="000000"/>
          <w:sz w:val="24"/>
          <w:szCs w:val="24"/>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provide care in a digital health environment in which technology is used to enhance the care and experiences of people who use services.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identify and critically appraise secondary and primary sources as a basis for independent study, evidence-based practice and implementation and improvement science.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apply research and evidence to the care of people across a range of health and social care environments taking account of the contextual factors that may affect this.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for employment in nursing, research, further study and lifelong learning by developing their </w:t>
      </w:r>
      <w:hyperlink r:id="rId10" w:history="1">
        <w:r w:rsidRPr="2030048C">
          <w:rPr>
            <w:rStyle w:val="normaltextrun"/>
            <w:rFonts w:ascii="Arial" w:hAnsi="Arial" w:cs="Arial"/>
            <w:color w:val="000000" w:themeColor="text1"/>
            <w:sz w:val="24"/>
            <w:szCs w:val="24"/>
            <w:shd w:val="clear" w:color="auto" w:fill="FFFFFF"/>
          </w:rPr>
          <w:t>Future Skills</w:t>
        </w:r>
      </w:hyperlink>
      <w:r w:rsidRPr="2030048C">
        <w:rPr>
          <w:rStyle w:val="normaltextrun"/>
          <w:rFonts w:ascii="Arial" w:hAnsi="Arial" w:cs="Arial"/>
          <w:color w:val="000000"/>
          <w:sz w:val="24"/>
          <w:szCs w:val="24"/>
          <w:shd w:val="clear" w:color="auto" w:fill="FFFFFF"/>
        </w:rPr>
        <w:t xml:space="preserve"> and enabling them to develop their graduate attributes.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Foster in</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the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capabilities, knowledge and skills to enable autonomous nursing practice at the point of registration.</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meet the knowledge, skills and behaviours required for the registered nurse degree apprenticeship.</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integrate British values within their professional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mental health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assembling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reflective, adaptable, compassionate, skilled and confident mental health registrant, with the ability to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drawing on experience to make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people with mental health conditions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mental health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mental health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mental health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manage and report risks to ensure the safety of people and contribute to quality improvement strategies to bring about continuous improvement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in mental health nursing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evidence- based interventions; evaluating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meet PSRB requirements the course comprises 2300 hours of theory learning and 2300 hours of practice learning. Practice learning comprises simulated practice learning and placements.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Note: As per </w:t>
      </w:r>
      <w:hyperlink r:id="rId14"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Option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You will be able to choose an option module in year 2 of the course. These modules will provide you with an opportunity to explore in more depth an area of healthcare that you are interested in. The optional modules do not contain any core NMC required content, so they provide you with additional learning opportunities to develop and expand your knowledge in an area of interest. All optional modules will run in teaching block 2. You will be asked to express a preference for your top three option modules and then you will be allocated one of these three. Students can choose any of the optional modules available.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Mental Health Nursing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Nursing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mental health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NM4200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90 credits at level 4. </w:t>
      </w:r>
    </w:p>
    <w:p w:rsidR="7A33046F"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programme permits progression from level 4 to level 5 with 90 credits at level 4 or above. The outstanding 30 credits from level 4 can be trailed into level 5 and must be passed before progression to level 6. The Practice Assessment Module must be passed by the end of the first placement of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Mental Health Nursing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Collaborative recovery focused psychosocial interventions in mental health nursing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NM5201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Nursing assessment in mental health nursing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NM5200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Progression to level 6 requires 90 credits at level 5</w:t>
      </w:r>
    </w:p>
    <w:p w:rsidR="3891A81D"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r w:rsidRPr="2030048C">
        <w:rPr>
          <w:rStyle w:val="normaltextrun"/>
          <w:rFonts w:ascii="Arial" w:eastAsia="Arial" w:hAnsi="Arial" w:cs="Arial"/>
          <w:color w:val="000000"/>
          <w:sz w:val="24"/>
          <w:szCs w:val="24"/>
        </w:rPr>
        <w:t xml:space="preserve">The Practice Assessment Module must be passed by the end of the first placement of level 6. </w:t>
      </w: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Nursing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NM6114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NM6113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meeting the Nursing and Midwifery Council practice requirements, but have successfully completed 120 credits at level 6, are eligible for the award of BSc Health and Wellbeing, </w:t>
      </w:r>
      <w:r w:rsidRPr="2030048C">
        <w:rPr>
          <w:rStyle w:val="normaltextrun"/>
          <w:rFonts w:ascii="Arial" w:eastAsia="Arial" w:hAnsi="Arial" w:cs="Arial"/>
          <w:color w:val="000000" w:themeColor="text1" w:themeShade="FF" w:themeTint="FF"/>
          <w:sz w:val="24"/>
          <w:szCs w:val="24"/>
        </w:rPr>
        <w:t>but will not be eligible to register with the Nursing and Midwifery Council.</w:t>
      </w:r>
    </w:p>
    <w:p w:rsidR="6DF80A31" w:rsidRPr="2030048C" w:rsidP="2030048C">
      <w:pPr>
        <w:ind w:left="57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To be awarded a BSc (Hons) Mental Health Nursing AND be eligible to register with the Nursing and Midwifery Council (NMC</w:t>
      </w:r>
      <w:r w:rsidRPr="2030048C">
        <w:rPr>
          <w:rStyle w:val="normaltextrun"/>
          <w:rFonts w:ascii="Arial" w:eastAsia="Arial" w:hAnsi="Arial" w:cs="Arial"/>
          <w:color w:val="000000" w:themeColor="text1" w:themeShade="FF" w:themeTint="FF"/>
          <w:sz w:val="24"/>
          <w:szCs w:val="24"/>
        </w:rPr>
        <w:t xml:space="preserve">) students </w:t>
      </w:r>
      <w:r w:rsidRPr="2030048C">
        <w:rPr>
          <w:rStyle w:val="normaltextrun"/>
          <w:rFonts w:ascii="Arial" w:eastAsia="Arial" w:hAnsi="Arial" w:cs="Arial"/>
          <w:color w:val="000000"/>
          <w:sz w:val="24"/>
          <w:szCs w:val="24"/>
        </w:rPr>
        <w:t xml:space="preserve">must have completed and passed all modules (120 credits at levels 4, 5 and 6) and course requirements </w:t>
      </w:r>
      <w:r w:rsidRPr="2030048C">
        <w:rPr>
          <w:rStyle w:val="normaltextrun"/>
          <w:rFonts w:ascii="Arial" w:eastAsia="Arial" w:hAnsi="Arial" w:cs="Arial"/>
          <w:b/>
          <w:bCs/>
          <w:color w:val="000000"/>
          <w:sz w:val="24"/>
          <w:szCs w:val="24"/>
        </w:rPr>
        <w:t xml:space="preserve">and </w:t>
      </w:r>
      <w:r w:rsidRPr="2030048C">
        <w:rPr>
          <w:rStyle w:val="normaltextrun"/>
          <w:rFonts w:ascii="Arial" w:eastAsia="Arial" w:hAnsi="Arial" w:cs="Arial"/>
          <w:color w:val="000000"/>
          <w:sz w:val="24"/>
          <w:szCs w:val="24"/>
        </w:rPr>
        <w:t xml:space="preserve">have completed a minimum of 2300 hours of theory </w:t>
      </w:r>
      <w:r w:rsidRPr="2030048C">
        <w:rPr>
          <w:rStyle w:val="normaltextrun"/>
          <w:rFonts w:ascii="Arial" w:eastAsia="Arial" w:hAnsi="Arial" w:cs="Arial"/>
          <w:b/>
          <w:bCs/>
          <w:color w:val="000000"/>
          <w:sz w:val="24"/>
          <w:szCs w:val="24"/>
        </w:rPr>
        <w:t>and</w:t>
      </w:r>
      <w:r w:rsidRPr="2030048C">
        <w:rPr>
          <w:rStyle w:val="normaltextrun"/>
          <w:rFonts w:ascii="Arial" w:eastAsia="Arial" w:hAnsi="Arial" w:cs="Arial"/>
          <w:color w:val="000000"/>
          <w:sz w:val="24"/>
          <w:szCs w:val="24"/>
        </w:rPr>
        <w:t xml:space="preserve"> 2300 hours of practice </w:t>
      </w:r>
      <w:r w:rsidRPr="2030048C">
        <w:rPr>
          <w:rStyle w:val="normaltextrun"/>
          <w:rFonts w:ascii="Arial" w:eastAsia="Arial" w:hAnsi="Arial" w:cs="Arial"/>
          <w:b/>
          <w:bCs/>
          <w:color w:val="000000"/>
          <w:sz w:val="24"/>
          <w:szCs w:val="24"/>
        </w:rPr>
        <w:t xml:space="preserve">and </w:t>
      </w:r>
      <w:r w:rsidRPr="2030048C">
        <w:rPr>
          <w:rStyle w:val="normaltextrun"/>
          <w:rFonts w:ascii="Arial" w:eastAsia="Arial" w:hAnsi="Arial" w:cs="Arial"/>
          <w:color w:val="000000"/>
          <w:sz w:val="24"/>
          <w:szCs w:val="24"/>
        </w:rPr>
        <w:t xml:space="preserve">have met the (NMC) requirements for Good Health and </w:t>
      </w:r>
      <w:r w:rsidRPr="2030048C">
        <w:rPr>
          <w:rStyle w:val="normaltextrun"/>
          <w:rFonts w:ascii="Arial" w:eastAsia="Arial" w:hAnsi="Arial" w:cs="Arial"/>
          <w:color w:val="000000" w:themeColor="text1" w:themeShade="FF" w:themeTint="FF"/>
          <w:sz w:val="24"/>
          <w:szCs w:val="24"/>
        </w:rPr>
        <w:t>Good Character, and have completed the End Point Assessment for the Registered Nurse Degree (NMC 2018)  Apprenticeship Standard (ST0781).</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It is essential that </w:t>
      </w:r>
      <w:r w:rsidRPr="2030048C">
        <w:rPr>
          <w:rStyle w:val="normaltextrun"/>
          <w:rFonts w:ascii="Arial" w:eastAsia="Arial" w:hAnsi="Arial" w:cs="Arial"/>
          <w:color w:val="000000" w:themeColor="text1" w:themeShade="FF" w:themeTint="FF"/>
          <w:sz w:val="24"/>
          <w:szCs w:val="24"/>
        </w:rPr>
        <w:t xml:space="preserve">students </w:t>
      </w:r>
      <w:r w:rsidRPr="2030048C">
        <w:rPr>
          <w:rStyle w:val="normaltextrun"/>
          <w:rFonts w:ascii="Arial" w:eastAsia="Arial" w:hAnsi="Arial" w:cs="Arial"/>
          <w:color w:val="000000"/>
          <w:sz w:val="24"/>
          <w:szCs w:val="24"/>
        </w:rPr>
        <w:t>meet the NMC and programme requirements for a minimum of 2300 hours of theory and 2300 hours of practice to meet NMC requirements to register as a Registered Nurse.</w:t>
      </w:r>
      <w:r w:rsidRPr="2030048C">
        <w:rPr>
          <w:rStyle w:val="normaltextrun"/>
          <w:rFonts w:ascii="Arial" w:eastAsia="Arial" w:hAnsi="Arial" w:cs="Arial"/>
          <w:color w:val="000000" w:themeColor="text1" w:themeShade="FF" w:themeTint="FF"/>
          <w:sz w:val="24"/>
          <w:szCs w:val="24"/>
        </w:rPr>
        <w:t xml:space="preserve"> As a student on an apprenticeship programme all learning (theory and practice) must be supernumerary, and these hours are recorded by the apprentice within their learning log and practice documents</w:t>
      </w:r>
      <w:r w:rsidRPr="2030048C">
        <w:rPr>
          <w:rStyle w:val="normaltextrun"/>
          <w:rFonts w:ascii="Arial" w:eastAsia="Arial" w:hAnsi="Arial" w:cs="Arial"/>
          <w:color w:val="000000"/>
          <w:sz w:val="24"/>
          <w:szCs w:val="24"/>
        </w:rPr>
        <w:t>. Full attendance is therefore required on the programme including for all practice placements. A record o</w:t>
      </w:r>
      <w:r w:rsidRPr="2030048C">
        <w:rPr>
          <w:rStyle w:val="normaltextrun"/>
          <w:rFonts w:ascii="Arial" w:eastAsia="Arial" w:hAnsi="Arial" w:cs="Arial"/>
          <w:color w:val="000000" w:themeColor="text1" w:themeShade="FF" w:themeTint="FF"/>
          <w:sz w:val="24"/>
          <w:szCs w:val="24"/>
        </w:rPr>
        <w:t xml:space="preserve">f student </w:t>
      </w:r>
      <w:r w:rsidRPr="2030048C">
        <w:rPr>
          <w:rStyle w:val="normaltextrun"/>
          <w:rFonts w:ascii="Arial" w:eastAsia="Arial" w:hAnsi="Arial" w:cs="Arial"/>
          <w:color w:val="000000"/>
          <w:sz w:val="24"/>
          <w:szCs w:val="24"/>
        </w:rPr>
        <w:t xml:space="preserve">hours of attendance in practice are maintained by the </w:t>
      </w:r>
      <w:r w:rsidRPr="2030048C">
        <w:rPr>
          <w:rStyle w:val="normaltextrun"/>
          <w:rFonts w:ascii="Arial" w:eastAsia="Arial" w:hAnsi="Arial" w:cs="Arial"/>
          <w:color w:val="000000" w:themeColor="text1" w:themeShade="FF" w:themeTint="FF"/>
          <w:sz w:val="24"/>
          <w:szCs w:val="24"/>
        </w:rPr>
        <w:t xml:space="preserve">university, and these are monitored along with the learning logs by the Course Leader.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employer agreement and placement availability. There may also be cases of repeated non-attendance at placement where the Student Attendance Policy (AP15) is invoked and a decision is made to withdraw the student from the programme due to non-engagement with practice. Students who have leave of any type in excess of 4 weeks </w:t>
      </w:r>
      <w:r w:rsidRPr="2030048C">
        <w:rPr>
          <w:rStyle w:val="normaltextrun"/>
          <w:rFonts w:ascii="Arial" w:eastAsia="Arial" w:hAnsi="Arial" w:cs="Arial"/>
          <w:color w:val="000000"/>
          <w:sz w:val="24"/>
          <w:szCs w:val="24"/>
        </w:rPr>
        <w:t>over the course of the</w:t>
      </w:r>
      <w:r w:rsidRPr="2030048C">
        <w:rPr>
          <w:rStyle w:val="normaltextrun"/>
          <w:rFonts w:ascii="Arial" w:eastAsia="Arial" w:hAnsi="Arial" w:cs="Arial"/>
          <w:color w:val="000000" w:themeColor="text1" w:themeShade="FF" w:themeTint="FF"/>
          <w:sz w:val="24"/>
          <w:szCs w:val="24"/>
        </w:rPr>
        <w:t xml:space="preserve"> programme may be required to interrupt from the programme as cumulative absences can impact on their ability to progress.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Student Advocate to provide additional pastoral and academic support to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Student Voice Committee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Nursing and Midwifery Council Annual Reporting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Key Account meetings with practice placement partners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Operations and Compliance Group meeting</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Partnership Committee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ind w:left="570"/>
        <w:rPr>
          <w:rFonts w:ascii="Arial" w:eastAsia="Arial" w:hAnsi="Arial" w:cs="Arial"/>
          <w:sz w:val="24"/>
          <w:szCs w:val="24"/>
        </w:rPr>
      </w:pPr>
      <w:r w:rsidRPr="2030048C">
        <w:rPr>
          <w:rFonts w:ascii="Arial" w:eastAsia="Arial" w:hAnsi="Arial" w:cs="Arial"/>
          <w:b/>
          <w:bCs/>
          <w:sz w:val="22"/>
          <w:szCs w:val="22"/>
        </w:rPr>
        <w:t xml:space="preserve">NMC Resources </w:t>
      </w:r>
    </w:p>
    <w:p w:rsidRPr="2030048C" w:rsidP="2030048C">
      <w:pPr>
        <w:ind w:left="570"/>
        <w:rPr>
          <w:rFonts w:ascii="Arial" w:eastAsia="Arial" w:hAnsi="Arial" w:cs="Arial"/>
          <w:sz w:val="24"/>
          <w:szCs w:val="24"/>
        </w:rPr>
      </w:pPr>
      <w:hyperlink r:id="rId15" w:history="1">
        <w:r w:rsidRPr="2030048C">
          <w:rPr>
            <w:rFonts w:ascii="Arial" w:eastAsia="Arial" w:hAnsi="Arial" w:cs="Arial"/>
            <w:color w:val="4472C4"/>
            <w:sz w:val="22"/>
            <w:szCs w:val="22"/>
          </w:rPr>
          <w:t>Standards framework for nursing and midwifery education</w:t>
        </w:r>
      </w:hyperlink>
    </w:p>
    <w:p w:rsidRPr="2030048C" w:rsidP="2030048C">
      <w:pPr>
        <w:ind w:left="570"/>
        <w:rPr>
          <w:rFonts w:ascii="Arial" w:eastAsia="Arial" w:hAnsi="Arial" w:cs="Arial"/>
          <w:sz w:val="24"/>
          <w:szCs w:val="24"/>
        </w:rPr>
      </w:pPr>
      <w:hyperlink r:id="rId16" w:history="1">
        <w:r w:rsidRPr="2030048C">
          <w:rPr>
            <w:rFonts w:ascii="Arial" w:eastAsia="Arial" w:hAnsi="Arial" w:cs="Arial"/>
            <w:color w:val="4472C4"/>
            <w:sz w:val="22"/>
            <w:szCs w:val="22"/>
          </w:rPr>
          <w:t>Standards for student supervision and assessment</w:t>
        </w:r>
      </w:hyperlink>
    </w:p>
    <w:p w:rsidRPr="2030048C" w:rsidP="2030048C">
      <w:pPr>
        <w:ind w:left="570"/>
        <w:rPr>
          <w:rFonts w:ascii="Arial" w:eastAsia="Arial" w:hAnsi="Arial" w:cs="Arial"/>
          <w:sz w:val="24"/>
          <w:szCs w:val="24"/>
        </w:rPr>
      </w:pPr>
      <w:hyperlink r:id="rId17" w:history="1">
        <w:r w:rsidRPr="2030048C">
          <w:rPr>
            <w:rFonts w:ascii="Arial" w:eastAsia="Arial" w:hAnsi="Arial" w:cs="Arial"/>
            <w:color w:val="4472C4"/>
            <w:sz w:val="22"/>
            <w:szCs w:val="22"/>
          </w:rPr>
          <w:t>Standards for pre-registration nursing programmes</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hyperlink r:id="rId18" w:history="1">
        <w:r w:rsidRPr="2030048C">
          <w:rPr>
            <w:rFonts w:ascii="Arial" w:eastAsia="Arial" w:hAnsi="Arial" w:cs="Arial"/>
            <w:color w:val="4472C4"/>
            <w:sz w:val="22"/>
            <w:szCs w:val="22"/>
          </w:rPr>
          <w:t>Standards of proficiency for registered nurses</w:t>
        </w:r>
      </w:hyperlink>
    </w:p>
    <w:p w:rsidRPr="2030048C" w:rsidP="2030048C">
      <w:pPr>
        <w:ind w:left="570"/>
        <w:rPr>
          <w:rFonts w:ascii="Arial" w:eastAsia="Arial" w:hAnsi="Arial" w:cs="Arial"/>
          <w:sz w:val="24"/>
          <w:szCs w:val="24"/>
        </w:rPr>
      </w:pPr>
      <w:r w:rsidRPr="2030048C">
        <w:rPr>
          <w:rFonts w:ascii="Arial" w:eastAsia="Arial" w:hAnsi="Arial" w:cs="Arial"/>
          <w:b/>
          <w:bCs/>
          <w:sz w:val="22"/>
          <w:szCs w:val="22"/>
        </w:rPr>
        <w:t>NHSE Resources</w:t>
      </w:r>
    </w:p>
    <w:p w:rsidRPr="2030048C" w:rsidP="2030048C">
      <w:pPr>
        <w:ind w:left="570"/>
        <w:rPr>
          <w:rFonts w:ascii="Arial" w:eastAsia="Arial" w:hAnsi="Arial" w:cs="Arial"/>
          <w:sz w:val="24"/>
          <w:szCs w:val="24"/>
        </w:rPr>
      </w:pPr>
      <w:hyperlink r:id="rId19" w:history="1">
        <w:r w:rsidRPr="2030048C">
          <w:rPr>
            <w:rFonts w:ascii="Arial" w:eastAsia="Arial" w:hAnsi="Arial" w:cs="Arial"/>
            <w:color w:val="4472C4"/>
            <w:sz w:val="22"/>
            <w:szCs w:val="22"/>
          </w:rPr>
          <w:t>NHS Long Term Workforce Plan</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hyperlink r:id="rId20" w:history="1">
        <w:r w:rsidRPr="2030048C">
          <w:rPr>
            <w:rFonts w:ascii="Arial" w:eastAsia="Arial" w:hAnsi="Arial" w:cs="Arial"/>
            <w:color w:val="4472C4"/>
            <w:sz w:val="22"/>
            <w:szCs w:val="22"/>
          </w:rPr>
          <w:t>NHSE Technology Enhanced Learning Platform</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r w:rsidRPr="2030048C">
        <w:rPr>
          <w:rFonts w:ascii="Arial" w:eastAsia="Arial" w:hAnsi="Arial" w:cs="Arial"/>
          <w:b/>
          <w:bCs/>
          <w:sz w:val="22"/>
          <w:szCs w:val="22"/>
        </w:rPr>
        <w:t>Apprentice resources</w:t>
      </w:r>
    </w:p>
    <w:p w:rsidRPr="2030048C" w:rsidP="2030048C">
      <w:pPr>
        <w:ind w:left="570"/>
        <w:rPr>
          <w:rFonts w:ascii="Arial" w:eastAsia="Arial" w:hAnsi="Arial" w:cs="Arial"/>
          <w:sz w:val="24"/>
          <w:szCs w:val="24"/>
        </w:rPr>
      </w:pPr>
      <w:hyperlink r:id="rId21" w:history="1">
        <w:r w:rsidRPr="2030048C">
          <w:rPr>
            <w:rFonts w:ascii="Arial" w:eastAsia="Arial" w:hAnsi="Arial" w:cs="Arial"/>
            <w:color w:val="4472C4"/>
            <w:sz w:val="22"/>
            <w:szCs w:val="22"/>
          </w:rPr>
          <w:t>Registered  nurse degree (NMC 2018) apprenticeship standard (ST0781)</w:t>
        </w:r>
      </w:hyperlink>
    </w:p>
    <w:p w:rsidRPr="2030048C" w:rsidP="2030048C">
      <w:pPr>
        <w:ind w:left="570"/>
        <w:rPr>
          <w:rFonts w:ascii="Arial" w:eastAsia="Arial" w:hAnsi="Arial" w:cs="Arial"/>
          <w:sz w:val="24"/>
          <w:szCs w:val="24"/>
        </w:rPr>
      </w:pPr>
      <w:hyperlink r:id="rId22" w:history="1">
        <w:r w:rsidRPr="2030048C">
          <w:rPr>
            <w:rFonts w:ascii="Arial" w:eastAsia="Arial" w:hAnsi="Arial" w:cs="Arial"/>
            <w:color w:val="4472C4"/>
            <w:sz w:val="22"/>
            <w:szCs w:val="22"/>
          </w:rPr>
          <w:t>End-point assessment plan for Registered nurse fully integrated degree apprenticeship standard (ST0781)</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99"/>
        <w:gridCol w:w="230"/>
        <w:gridCol w:w="606"/>
        <w:gridCol w:w="581"/>
        <w:gridCol w:w="581"/>
        <w:gridCol w:w="581"/>
        <w:gridCol w:w="1"/>
        <w:gridCol w:w="580"/>
        <w:gridCol w:w="606"/>
        <w:gridCol w:w="606"/>
        <w:gridCol w:w="581"/>
        <w:gridCol w:w="2"/>
        <w:gridCol w:w="579"/>
        <w:gridCol w:w="581"/>
        <w:gridCol w:w="581"/>
        <w:gridCol w:w="606"/>
        <w:gridCol w:w="60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NM6114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NM6113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nmc.org.uk/standards/standards-for-nurses/standards-of-proficiency-for-registered-nurses/" TargetMode="External"/><Relationship Id="rId8" Type="http://schemas.openxmlformats.org/officeDocument/2006/relationships/image" Target="media/image1.png"/><Relationship Id="rId21" Type="http://schemas.openxmlformats.org/officeDocument/2006/relationships/hyperlink" Target="https://www.instituteforapprenticeships.org/apprenticeship-standards/registered-nurse-degree-nmc-2018/" TargetMode="Externa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hyperlink" Target="https://www.nmc.org.uk/standards/standards-for-nurses/standards-for-pre-registration-nursing-programmes/" TargetMode="External"/><Relationship Id="rId25"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hyperlink" Target="https://www.nmc.org.uk/standards-for-education-and-training/standards-for-student-supervision-and-assessment/" TargetMode="External"/><Relationship Id="rId2" Type="http://schemas.openxmlformats.org/officeDocument/2006/relationships/webSettings" Target="webSettings.xml"/><Relationship Id="rId20" Type="http://schemas.openxmlformats.org/officeDocument/2006/relationships/hyperlink" Target="https://www.hee.nhs.uk/our-work/technology-enhanced-learning" TargetMode="External"/><Relationship Id="rId1" Type="http://schemas.openxmlformats.org/officeDocument/2006/relationships/settings" Target="settings.xml"/><Relationship Id="rId11" Type="http://schemas.openxmlformats.org/officeDocument/2006/relationships/hyperlink" Target="https://www.officeforstudents.org.uk/media/53821cbf-5779-4380-bf2a-aa8f5c53ecd4/sector-recognised-standards.pdf%22" TargetMode="External"/><Relationship Id="rId24" Type="http://schemas.openxmlformats.org/officeDocument/2006/relationships/numbering" Target="numbering.xml"/><Relationship Id="rId6" Type="http://schemas.openxmlformats.org/officeDocument/2006/relationships/customXml" Target="../customXml/item3.xml"/><Relationship Id="rId15" Type="http://schemas.openxmlformats.org/officeDocument/2006/relationships/hyperlink" Target="https://www.nmc.org.uk/standards-for-education-and-training/standards-framework-for-nursing-and-midwifery-education/" TargetMode="External"/><Relationship Id="rId23" Type="http://schemas.openxmlformats.org/officeDocument/2006/relationships/theme" Target="theme/theme1.xml"/><Relationship Id="rId10" Type="http://schemas.openxmlformats.org/officeDocument/2006/relationships/hyperlink" Target="https://www.kingston.ac.uk/aboutkingstonuniversity/future-skills/" TargetMode="External"/><Relationship Id="rId19" Type="http://schemas.openxmlformats.org/officeDocument/2006/relationships/hyperlink" Target="https://www.england.nhs.uk/publication/nhs-long-term-workforce-plan/" TargetMode="External"/><Relationship Id="rId14" Type="http://schemas.openxmlformats.org/officeDocument/2006/relationships/hyperlink" Target="https://www.kingston.ac.uk/aboutkingstonuniversity/howtheuniversityworks/policiesandregulations/" TargetMode="External"/><Relationship Id="rId22" Type="http://schemas.openxmlformats.org/officeDocument/2006/relationships/hyperlink" Target="https://www.instituteforapprenticeships.org/media/5919/st0781_v14_registered_nurse_l6_fullyintegrated-ap-for-publication_adjustment_15022022.pdf" TargetMode="External"/><Relationship Id="rId4" Type="http://schemas.openxmlformats.org/officeDocument/2006/relationships/customXml" Target="../customXml/item1.xml"/><Relationship Id="rId9" Type="http://schemas.openxmlformats.org/officeDocument/2006/relationships/hyperlink" Target="https://www.nmc.org.uk/globalassets/sitedocuments/nmc-publications/nmc-code.pdfhttps:/www.nmc.org.uk/globalassets/sitedocuments/nmc-publications/nmc-code.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7C8564C-9432-4964-B964-1558B16B7C3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